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79B7" w14:textId="77777777" w:rsidR="00727557" w:rsidRPr="00E93C87" w:rsidRDefault="00727557" w:rsidP="00727557">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both"/>
        <w:outlineLvl w:val="0"/>
        <w:rPr>
          <w:rFonts w:ascii="Times New Roman" w:eastAsia="Times New Roman" w:hAnsi="Times New Roman" w:cs="Times New Roman"/>
          <w:b/>
          <w:bCs/>
          <w:caps/>
          <w:color w:val="FF0000"/>
          <w:spacing w:val="15"/>
        </w:rPr>
      </w:pPr>
      <w:bookmarkStart w:id="0" w:name="_GoBack"/>
      <w:bookmarkEnd w:id="0"/>
      <w:r w:rsidRPr="0066219C">
        <w:rPr>
          <w:rFonts w:ascii="Times New Roman" w:eastAsia="Times New Roman" w:hAnsi="Times New Roman" w:cs="Times New Roman"/>
          <w:b/>
          <w:bCs/>
          <w:caps/>
          <w:color w:val="FFFFFF"/>
          <w:spacing w:val="15"/>
        </w:rPr>
        <w:t>Ravimikomisjoni KOOSOLEKU PROTOKOLL</w:t>
      </w:r>
    </w:p>
    <w:p w14:paraId="00CF3362" w14:textId="77777777" w:rsidR="00727557" w:rsidRPr="0066219C" w:rsidRDefault="00727557" w:rsidP="00727557">
      <w:pPr>
        <w:spacing w:after="0" w:line="240" w:lineRule="auto"/>
        <w:jc w:val="both"/>
        <w:rPr>
          <w:rFonts w:ascii="Times New Roman" w:eastAsia="Times New Roman" w:hAnsi="Times New Roman" w:cs="Times New Roman"/>
          <w:lang w:eastAsia="et-EE"/>
        </w:rPr>
      </w:pPr>
    </w:p>
    <w:p w14:paraId="27F2D82C" w14:textId="77777777" w:rsidR="00727557" w:rsidRPr="0066219C" w:rsidRDefault="00F43940" w:rsidP="00727557">
      <w:pPr>
        <w:spacing w:after="0" w:line="240"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Toimumiskoht: Eesti Haigekassa</w:t>
      </w:r>
      <w:r w:rsidR="00CE1C9B">
        <w:rPr>
          <w:rFonts w:ascii="Times New Roman" w:eastAsia="Times New Roman" w:hAnsi="Times New Roman" w:cs="Times New Roman"/>
          <w:lang w:eastAsia="et-EE"/>
        </w:rPr>
        <w:t>, ruum</w:t>
      </w:r>
      <w:r>
        <w:rPr>
          <w:rFonts w:ascii="Times New Roman" w:eastAsia="Times New Roman" w:hAnsi="Times New Roman" w:cs="Times New Roman"/>
          <w:lang w:eastAsia="et-EE"/>
        </w:rPr>
        <w:t xml:space="preserve"> </w:t>
      </w:r>
      <w:r w:rsidR="00695012">
        <w:rPr>
          <w:rFonts w:ascii="Times New Roman" w:eastAsia="Times New Roman" w:hAnsi="Times New Roman" w:cs="Times New Roman"/>
          <w:lang w:eastAsia="et-EE"/>
        </w:rPr>
        <w:t>413</w:t>
      </w:r>
      <w:r w:rsidR="00CE1C9B">
        <w:rPr>
          <w:rFonts w:ascii="Times New Roman" w:eastAsia="Times New Roman" w:hAnsi="Times New Roman" w:cs="Times New Roman"/>
          <w:lang w:eastAsia="et-EE"/>
        </w:rPr>
        <w:tab/>
      </w:r>
      <w:r w:rsidR="00CE1C9B">
        <w:rPr>
          <w:rFonts w:ascii="Times New Roman" w:eastAsia="Times New Roman" w:hAnsi="Times New Roman" w:cs="Times New Roman"/>
          <w:lang w:eastAsia="et-EE"/>
        </w:rPr>
        <w:tab/>
      </w:r>
      <w:r w:rsidR="00CE1C9B">
        <w:rPr>
          <w:rFonts w:ascii="Times New Roman" w:eastAsia="Times New Roman" w:hAnsi="Times New Roman" w:cs="Times New Roman"/>
          <w:lang w:eastAsia="et-EE"/>
        </w:rPr>
        <w:tab/>
      </w:r>
      <w:r w:rsidR="00CE1C9B">
        <w:rPr>
          <w:rFonts w:ascii="Times New Roman" w:eastAsia="Times New Roman" w:hAnsi="Times New Roman" w:cs="Times New Roman"/>
          <w:lang w:eastAsia="et-EE"/>
        </w:rPr>
        <w:tab/>
      </w:r>
      <w:r w:rsidR="00CE1C9B">
        <w:rPr>
          <w:rFonts w:ascii="Times New Roman" w:eastAsia="Times New Roman" w:hAnsi="Times New Roman" w:cs="Times New Roman"/>
          <w:lang w:eastAsia="et-EE"/>
        </w:rPr>
        <w:tab/>
      </w:r>
      <w:r>
        <w:rPr>
          <w:rFonts w:ascii="Times New Roman" w:eastAsia="Times New Roman" w:hAnsi="Times New Roman" w:cs="Times New Roman"/>
          <w:lang w:eastAsia="et-EE"/>
        </w:rPr>
        <w:t xml:space="preserve">          </w:t>
      </w:r>
      <w:r w:rsidR="0080701D">
        <w:rPr>
          <w:rFonts w:ascii="Times New Roman" w:eastAsia="Times New Roman" w:hAnsi="Times New Roman" w:cs="Times New Roman"/>
          <w:lang w:eastAsia="et-EE"/>
        </w:rPr>
        <w:t>0</w:t>
      </w:r>
      <w:r w:rsidR="00695012">
        <w:rPr>
          <w:rFonts w:ascii="Times New Roman" w:eastAsia="Times New Roman" w:hAnsi="Times New Roman" w:cs="Times New Roman"/>
          <w:lang w:eastAsia="et-EE"/>
        </w:rPr>
        <w:t>7</w:t>
      </w:r>
      <w:r w:rsidR="00CE1C9B">
        <w:rPr>
          <w:rFonts w:ascii="Times New Roman" w:eastAsia="Times New Roman" w:hAnsi="Times New Roman" w:cs="Times New Roman"/>
          <w:lang w:eastAsia="et-EE"/>
        </w:rPr>
        <w:t>.</w:t>
      </w:r>
      <w:r>
        <w:rPr>
          <w:rFonts w:ascii="Times New Roman" w:eastAsia="Times New Roman" w:hAnsi="Times New Roman" w:cs="Times New Roman"/>
          <w:lang w:eastAsia="et-EE"/>
        </w:rPr>
        <w:t>0</w:t>
      </w:r>
      <w:r w:rsidR="00695012">
        <w:rPr>
          <w:rFonts w:ascii="Times New Roman" w:eastAsia="Times New Roman" w:hAnsi="Times New Roman" w:cs="Times New Roman"/>
          <w:lang w:eastAsia="et-EE"/>
        </w:rPr>
        <w:t>5</w:t>
      </w:r>
      <w:r w:rsidR="00C06886">
        <w:rPr>
          <w:rFonts w:ascii="Times New Roman" w:eastAsia="Times New Roman" w:hAnsi="Times New Roman" w:cs="Times New Roman"/>
          <w:lang w:eastAsia="et-EE"/>
        </w:rPr>
        <w:t>.201</w:t>
      </w:r>
      <w:r>
        <w:rPr>
          <w:rFonts w:ascii="Times New Roman" w:eastAsia="Times New Roman" w:hAnsi="Times New Roman" w:cs="Times New Roman"/>
          <w:lang w:eastAsia="et-EE"/>
        </w:rPr>
        <w:t>8</w:t>
      </w:r>
      <w:r w:rsidR="00C06886">
        <w:rPr>
          <w:rFonts w:ascii="Times New Roman" w:eastAsia="Times New Roman" w:hAnsi="Times New Roman" w:cs="Times New Roman"/>
          <w:lang w:eastAsia="et-EE"/>
        </w:rPr>
        <w:t xml:space="preserve"> nr </w:t>
      </w:r>
      <w:r w:rsidR="00695012">
        <w:rPr>
          <w:rFonts w:ascii="Times New Roman" w:eastAsia="Times New Roman" w:hAnsi="Times New Roman" w:cs="Times New Roman"/>
          <w:lang w:eastAsia="et-EE"/>
        </w:rPr>
        <w:t>4</w:t>
      </w:r>
    </w:p>
    <w:p w14:paraId="2A5BD1D9" w14:textId="77777777" w:rsidR="00727557" w:rsidRPr="0066219C" w:rsidRDefault="00727557" w:rsidP="00727557">
      <w:pPr>
        <w:spacing w:after="0" w:line="240" w:lineRule="auto"/>
        <w:jc w:val="both"/>
        <w:rPr>
          <w:rFonts w:ascii="Times New Roman" w:eastAsia="Times New Roman" w:hAnsi="Times New Roman" w:cs="Times New Roman"/>
          <w:lang w:eastAsia="et-EE"/>
        </w:rPr>
      </w:pPr>
    </w:p>
    <w:p w14:paraId="1F8E4A36" w14:textId="77777777" w:rsidR="00727557" w:rsidRPr="0066219C" w:rsidRDefault="00264B72" w:rsidP="00727557">
      <w:pPr>
        <w:spacing w:after="0" w:line="240"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Algus kell 14.00, lõpp kell 1</w:t>
      </w:r>
      <w:r w:rsidR="00695012">
        <w:rPr>
          <w:rFonts w:ascii="Times New Roman" w:eastAsia="Times New Roman" w:hAnsi="Times New Roman" w:cs="Times New Roman"/>
          <w:lang w:eastAsia="et-EE"/>
        </w:rPr>
        <w:t>5</w:t>
      </w:r>
      <w:r w:rsidR="00727557">
        <w:rPr>
          <w:rFonts w:ascii="Times New Roman" w:eastAsia="Times New Roman" w:hAnsi="Times New Roman" w:cs="Times New Roman"/>
          <w:lang w:eastAsia="et-EE"/>
        </w:rPr>
        <w:t>.</w:t>
      </w:r>
      <w:r w:rsidR="00695012">
        <w:rPr>
          <w:rFonts w:ascii="Times New Roman" w:eastAsia="Times New Roman" w:hAnsi="Times New Roman" w:cs="Times New Roman"/>
          <w:lang w:eastAsia="et-EE"/>
        </w:rPr>
        <w:t>3</w:t>
      </w:r>
      <w:r w:rsidR="00661FB2">
        <w:rPr>
          <w:rFonts w:ascii="Times New Roman" w:eastAsia="Times New Roman" w:hAnsi="Times New Roman" w:cs="Times New Roman"/>
          <w:lang w:eastAsia="et-EE"/>
        </w:rPr>
        <w:t>0</w:t>
      </w:r>
    </w:p>
    <w:p w14:paraId="30C1C9AE" w14:textId="77777777" w:rsidR="00727557" w:rsidRPr="0066219C" w:rsidRDefault="00727557" w:rsidP="00AA5915">
      <w:pPr>
        <w:spacing w:after="0" w:line="269" w:lineRule="auto"/>
        <w:jc w:val="both"/>
        <w:rPr>
          <w:rFonts w:ascii="Times New Roman" w:eastAsia="Times New Roman" w:hAnsi="Times New Roman" w:cs="Times New Roman"/>
          <w:lang w:eastAsia="et-EE"/>
        </w:rPr>
      </w:pPr>
    </w:p>
    <w:p w14:paraId="1562E20E" w14:textId="77777777" w:rsidR="00727557" w:rsidRPr="0066219C" w:rsidRDefault="00727557" w:rsidP="00AA5915">
      <w:pPr>
        <w:spacing w:after="0" w:line="269"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Juhatas:           Alar Irs</w:t>
      </w:r>
      <w:r w:rsidRPr="0066219C">
        <w:rPr>
          <w:rFonts w:ascii="Times New Roman" w:eastAsia="Times New Roman" w:hAnsi="Times New Roman" w:cs="Times New Roman"/>
          <w:lang w:eastAsia="et-EE"/>
        </w:rPr>
        <w:t xml:space="preserve"> (</w:t>
      </w:r>
      <w:r w:rsidR="00F43940">
        <w:rPr>
          <w:rFonts w:ascii="Times New Roman" w:eastAsia="Times New Roman" w:hAnsi="Times New Roman" w:cs="Times New Roman"/>
          <w:lang w:eastAsia="et-EE"/>
        </w:rPr>
        <w:t>Ravimiamet</w:t>
      </w:r>
      <w:r w:rsidRPr="0066219C">
        <w:rPr>
          <w:rFonts w:ascii="Times New Roman" w:eastAsia="Times New Roman" w:hAnsi="Times New Roman" w:cs="Times New Roman"/>
          <w:lang w:eastAsia="et-EE"/>
        </w:rPr>
        <w:t>)</w:t>
      </w:r>
    </w:p>
    <w:p w14:paraId="0D86FA02" w14:textId="77777777" w:rsidR="00575409" w:rsidRDefault="00727557" w:rsidP="00292004">
      <w:pPr>
        <w:spacing w:after="0" w:line="269"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Võtsid osa:      </w:t>
      </w:r>
      <w:r w:rsidR="00695012">
        <w:rPr>
          <w:rFonts w:ascii="Times New Roman" w:eastAsia="Times New Roman" w:hAnsi="Times New Roman" w:cs="Times New Roman"/>
          <w:lang w:eastAsia="ar-SA"/>
        </w:rPr>
        <w:t>Lembi Aug (</w:t>
      </w:r>
      <w:r w:rsidR="00575409">
        <w:rPr>
          <w:rFonts w:ascii="Times New Roman" w:eastAsia="Times New Roman" w:hAnsi="Times New Roman" w:cs="Times New Roman"/>
          <w:lang w:eastAsia="ar-SA"/>
        </w:rPr>
        <w:t>Eesti Arstide Liit)</w:t>
      </w:r>
    </w:p>
    <w:p w14:paraId="0E31E26D" w14:textId="77777777" w:rsidR="00F933D8" w:rsidRDefault="00575409" w:rsidP="00575409">
      <w:pPr>
        <w:spacing w:after="0" w:line="269" w:lineRule="auto"/>
        <w:ind w:left="708" w:firstLine="1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F43940" w:rsidRPr="0066219C">
        <w:rPr>
          <w:rFonts w:ascii="Times New Roman" w:eastAsia="Times New Roman" w:hAnsi="Times New Roman" w:cs="Times New Roman"/>
          <w:lang w:eastAsia="ar-SA"/>
        </w:rPr>
        <w:t>Erki Laidmäe (Eesti Haigekassa</w:t>
      </w:r>
      <w:r w:rsidR="009C00AB">
        <w:rPr>
          <w:rFonts w:ascii="Times New Roman" w:eastAsia="Times New Roman" w:hAnsi="Times New Roman" w:cs="Times New Roman"/>
          <w:lang w:eastAsia="ar-SA"/>
        </w:rPr>
        <w:t>)</w:t>
      </w:r>
    </w:p>
    <w:p w14:paraId="2AC83A91" w14:textId="77777777" w:rsidR="00727557" w:rsidRDefault="00F43940" w:rsidP="00C11C4E">
      <w:pPr>
        <w:spacing w:after="0" w:line="269" w:lineRule="auto"/>
        <w:ind w:left="708" w:firstLine="1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66219C">
        <w:rPr>
          <w:rFonts w:ascii="Times New Roman" w:eastAsia="Times New Roman" w:hAnsi="Times New Roman" w:cs="Times New Roman"/>
          <w:lang w:eastAsia="ar-SA"/>
        </w:rPr>
        <w:t>Kaja-Triin Laisaar (Tartu Ülikool</w:t>
      </w:r>
      <w:r w:rsidR="00C11C4E">
        <w:rPr>
          <w:rFonts w:ascii="Times New Roman" w:eastAsia="Times New Roman" w:hAnsi="Times New Roman" w:cs="Times New Roman"/>
          <w:lang w:eastAsia="ar-SA"/>
        </w:rPr>
        <w:t>)</w:t>
      </w:r>
    </w:p>
    <w:p w14:paraId="5E7B8907" w14:textId="77777777" w:rsidR="009C00AB" w:rsidRDefault="009C00AB" w:rsidP="009C00AB">
      <w:pPr>
        <w:spacing w:after="0" w:line="269" w:lineRule="auto"/>
        <w:ind w:left="708" w:firstLine="12"/>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Eda Lopato (Sotsiaalministeerium)</w:t>
      </w:r>
    </w:p>
    <w:p w14:paraId="4444CA84" w14:textId="77777777" w:rsidR="00727557" w:rsidRDefault="00727557" w:rsidP="00AA5915">
      <w:pPr>
        <w:spacing w:after="0" w:line="269"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C06886">
        <w:rPr>
          <w:rFonts w:ascii="Times New Roman" w:eastAsia="Times New Roman" w:hAnsi="Times New Roman" w:cs="Times New Roman"/>
          <w:lang w:eastAsia="ar-SA"/>
        </w:rPr>
        <w:t xml:space="preserve">                  </w:t>
      </w:r>
      <w:r w:rsidR="00F43940">
        <w:rPr>
          <w:rFonts w:ascii="Times New Roman" w:eastAsia="Times New Roman" w:hAnsi="Times New Roman" w:cs="Times New Roman"/>
          <w:lang w:eastAsia="ar-SA"/>
        </w:rPr>
        <w:t>Argo Lätt</w:t>
      </w:r>
      <w:r>
        <w:rPr>
          <w:rFonts w:ascii="Times New Roman" w:eastAsia="Times New Roman" w:hAnsi="Times New Roman" w:cs="Times New Roman"/>
          <w:lang w:eastAsia="ar-SA"/>
        </w:rPr>
        <w:t xml:space="preserve"> (Eesti Perearstide Selts)</w:t>
      </w:r>
    </w:p>
    <w:p w14:paraId="1E19FA94" w14:textId="77777777" w:rsidR="00727557" w:rsidRDefault="00727557" w:rsidP="00AA5915">
      <w:pPr>
        <w:spacing w:after="0" w:line="269"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Kadri Tammepuu (Eesti Patsientide Liit)</w:t>
      </w:r>
    </w:p>
    <w:p w14:paraId="65AEC453" w14:textId="77777777" w:rsidR="00C11C4E" w:rsidRDefault="00154E5B" w:rsidP="00C11C4E">
      <w:pPr>
        <w:spacing w:after="0" w:line="269"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 xml:space="preserve">           </w:t>
      </w:r>
      <w:r w:rsidRPr="002524DC">
        <w:rPr>
          <w:rFonts w:ascii="Times New Roman" w:eastAsia="Times New Roman" w:hAnsi="Times New Roman" w:cs="Times New Roman"/>
          <w:lang w:eastAsia="ar-SA"/>
        </w:rPr>
        <w:t>Ulvi Tammer-Jäätes</w:t>
      </w:r>
      <w:r>
        <w:rPr>
          <w:rFonts w:ascii="Times New Roman" w:eastAsia="Times New Roman" w:hAnsi="Times New Roman" w:cs="Times New Roman"/>
          <w:lang w:eastAsia="ar-SA"/>
        </w:rPr>
        <w:t xml:space="preserve"> (Eesti Puuetega Inimeste Koda)</w:t>
      </w:r>
    </w:p>
    <w:p w14:paraId="7CAE85B5" w14:textId="77777777" w:rsidR="000C6959" w:rsidRDefault="00C11C4E" w:rsidP="00C11C4E">
      <w:pPr>
        <w:spacing w:after="0" w:line="269"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Kutsutud:        </w:t>
      </w:r>
      <w:r w:rsidR="000C6959">
        <w:rPr>
          <w:rFonts w:ascii="Times New Roman" w:eastAsia="Times New Roman" w:hAnsi="Times New Roman" w:cs="Times New Roman"/>
          <w:lang w:eastAsia="ar-SA"/>
        </w:rPr>
        <w:t>Ott Laius (Ravimiamet)</w:t>
      </w:r>
    </w:p>
    <w:p w14:paraId="4E4C5DA0" w14:textId="77777777" w:rsidR="00727557" w:rsidRDefault="00727557" w:rsidP="00AA5915">
      <w:pPr>
        <w:spacing w:after="0" w:line="269" w:lineRule="auto"/>
        <w:rPr>
          <w:rFonts w:ascii="Times New Roman" w:eastAsia="Times New Roman" w:hAnsi="Times New Roman" w:cs="Times New Roman"/>
          <w:lang w:eastAsia="ar-SA"/>
        </w:rPr>
      </w:pPr>
      <w:r w:rsidRPr="0066219C">
        <w:rPr>
          <w:rFonts w:ascii="Times New Roman" w:eastAsia="Times New Roman" w:hAnsi="Times New Roman" w:cs="Times New Roman"/>
          <w:lang w:eastAsia="ar-SA"/>
        </w:rPr>
        <w:t>Protokollija:</w:t>
      </w:r>
      <w:r>
        <w:rPr>
          <w:rFonts w:ascii="Times New Roman" w:eastAsia="Times New Roman" w:hAnsi="Times New Roman" w:cs="Times New Roman"/>
          <w:lang w:eastAsia="ar-SA"/>
        </w:rPr>
        <w:t xml:space="preserve">    </w:t>
      </w:r>
      <w:r w:rsidR="00C06886">
        <w:rPr>
          <w:rFonts w:ascii="Times New Roman" w:eastAsia="Times New Roman" w:hAnsi="Times New Roman" w:cs="Times New Roman"/>
          <w:lang w:eastAsia="ar-SA"/>
        </w:rPr>
        <w:t>Getter Hark</w:t>
      </w:r>
      <w:r w:rsidRPr="0066219C">
        <w:rPr>
          <w:rFonts w:ascii="Times New Roman" w:eastAsia="Times New Roman" w:hAnsi="Times New Roman" w:cs="Times New Roman"/>
          <w:lang w:eastAsia="ar-SA"/>
        </w:rPr>
        <w:t xml:space="preserve"> (</w:t>
      </w:r>
      <w:r w:rsidR="00F43940">
        <w:rPr>
          <w:rFonts w:ascii="Times New Roman" w:eastAsia="Times New Roman" w:hAnsi="Times New Roman" w:cs="Times New Roman"/>
          <w:lang w:eastAsia="ar-SA"/>
        </w:rPr>
        <w:t>Eesti Haigekassa</w:t>
      </w:r>
      <w:r w:rsidRPr="0066219C">
        <w:rPr>
          <w:rFonts w:ascii="Times New Roman" w:eastAsia="Times New Roman" w:hAnsi="Times New Roman" w:cs="Times New Roman"/>
          <w:lang w:eastAsia="ar-SA"/>
        </w:rPr>
        <w:t>)</w:t>
      </w:r>
    </w:p>
    <w:p w14:paraId="62B09A1D" w14:textId="77777777" w:rsidR="00790DA6" w:rsidRDefault="00790DA6" w:rsidP="00AA5915">
      <w:pPr>
        <w:spacing w:after="0" w:line="269" w:lineRule="auto"/>
        <w:rPr>
          <w:rFonts w:ascii="Times New Roman" w:eastAsia="Times New Roman" w:hAnsi="Times New Roman" w:cs="Times New Roman"/>
          <w:lang w:eastAsia="ar-SA"/>
        </w:rPr>
      </w:pPr>
    </w:p>
    <w:p w14:paraId="2C154651" w14:textId="77777777" w:rsidR="00790DA6" w:rsidRDefault="00790DA6" w:rsidP="00AA5915">
      <w:pPr>
        <w:spacing w:after="0" w:line="269" w:lineRule="auto"/>
        <w:rPr>
          <w:rFonts w:ascii="Times New Roman" w:eastAsia="Times New Roman" w:hAnsi="Times New Roman" w:cs="Times New Roman"/>
          <w:lang w:eastAsia="ar-SA"/>
        </w:rPr>
      </w:pPr>
      <w:r>
        <w:rPr>
          <w:rFonts w:ascii="Times New Roman" w:eastAsia="Times New Roman" w:hAnsi="Times New Roman" w:cs="Times New Roman"/>
          <w:lang w:eastAsia="ar-SA"/>
        </w:rPr>
        <w:t>K</w:t>
      </w:r>
      <w:r w:rsidRPr="00790DA6">
        <w:rPr>
          <w:rFonts w:ascii="Times New Roman" w:eastAsia="Times New Roman" w:hAnsi="Times New Roman" w:cs="Times New Roman"/>
          <w:lang w:eastAsia="ar-SA"/>
        </w:rPr>
        <w:t>õik</w:t>
      </w:r>
      <w:r>
        <w:rPr>
          <w:rFonts w:ascii="Times New Roman" w:eastAsia="Times New Roman" w:hAnsi="Times New Roman" w:cs="Times New Roman"/>
          <w:lang w:eastAsia="ar-SA"/>
        </w:rPr>
        <w:t xml:space="preserve"> ravimikomisjonis osalenud</w:t>
      </w:r>
      <w:r w:rsidRPr="00790DA6">
        <w:rPr>
          <w:rFonts w:ascii="Times New Roman" w:eastAsia="Times New Roman" w:hAnsi="Times New Roman" w:cs="Times New Roman"/>
          <w:lang w:eastAsia="ar-SA"/>
        </w:rPr>
        <w:t xml:space="preserve"> liikmed on huvid deklareerinud</w:t>
      </w:r>
      <w:r>
        <w:rPr>
          <w:rFonts w:ascii="Times New Roman" w:eastAsia="Times New Roman" w:hAnsi="Times New Roman" w:cs="Times New Roman"/>
          <w:lang w:eastAsia="ar-SA"/>
        </w:rPr>
        <w:t>,</w:t>
      </w:r>
      <w:r w:rsidRPr="00790DA6">
        <w:rPr>
          <w:rFonts w:ascii="Times New Roman" w:eastAsia="Times New Roman" w:hAnsi="Times New Roman" w:cs="Times New Roman"/>
          <w:lang w:eastAsia="ar-SA"/>
        </w:rPr>
        <w:t xml:space="preserve"> huvide konflikti </w:t>
      </w:r>
      <w:r>
        <w:rPr>
          <w:rFonts w:ascii="Times New Roman" w:eastAsia="Times New Roman" w:hAnsi="Times New Roman" w:cs="Times New Roman"/>
          <w:lang w:eastAsia="ar-SA"/>
        </w:rPr>
        <w:t xml:space="preserve">ei tuvastatud. </w:t>
      </w:r>
    </w:p>
    <w:p w14:paraId="47376DF6" w14:textId="77777777" w:rsidR="00727557" w:rsidRPr="0066219C" w:rsidRDefault="00727557" w:rsidP="00727557">
      <w:pPr>
        <w:spacing w:after="0" w:line="240" w:lineRule="auto"/>
        <w:rPr>
          <w:rFonts w:ascii="Times New Roman" w:eastAsia="Times New Roman" w:hAnsi="Times New Roman" w:cs="Times New Roman"/>
          <w:lang w:eastAsia="ar-SA"/>
        </w:rPr>
      </w:pPr>
    </w:p>
    <w:p w14:paraId="34825CB8" w14:textId="77777777" w:rsidR="00727557" w:rsidRPr="0066219C" w:rsidRDefault="00727557" w:rsidP="00727557">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both"/>
        <w:outlineLvl w:val="0"/>
        <w:rPr>
          <w:rFonts w:ascii="Times New Roman" w:eastAsia="Times New Roman" w:hAnsi="Times New Roman" w:cs="Times New Roman"/>
          <w:b/>
          <w:bCs/>
          <w:caps/>
          <w:color w:val="FFFFFF"/>
          <w:spacing w:val="15"/>
        </w:rPr>
      </w:pPr>
      <w:r w:rsidRPr="0066219C">
        <w:rPr>
          <w:rFonts w:ascii="Times New Roman" w:eastAsia="Times New Roman" w:hAnsi="Times New Roman" w:cs="Times New Roman"/>
          <w:b/>
          <w:bCs/>
          <w:caps/>
          <w:color w:val="FFFFFF"/>
          <w:spacing w:val="15"/>
        </w:rPr>
        <w:t>Päevakord:</w:t>
      </w:r>
    </w:p>
    <w:p w14:paraId="082BDD55" w14:textId="77777777" w:rsidR="00727557" w:rsidRDefault="00727557" w:rsidP="00727557">
      <w:pPr>
        <w:spacing w:after="0" w:line="240" w:lineRule="auto"/>
        <w:ind w:left="284" w:right="277"/>
        <w:contextualSpacing/>
        <w:jc w:val="both"/>
        <w:rPr>
          <w:rFonts w:ascii="Times New Roman" w:eastAsia="Times New Roman" w:hAnsi="Times New Roman" w:cs="Times New Roman"/>
        </w:rPr>
      </w:pPr>
    </w:p>
    <w:p w14:paraId="15D6BB3B" w14:textId="77777777" w:rsidR="002C4DB4" w:rsidRPr="002C4DB4" w:rsidRDefault="002C4DB4" w:rsidP="002C4DB4">
      <w:pPr>
        <w:pStyle w:val="Loendilik"/>
        <w:numPr>
          <w:ilvl w:val="0"/>
          <w:numId w:val="1"/>
        </w:numPr>
        <w:spacing w:line="269" w:lineRule="auto"/>
        <w:ind w:left="567"/>
        <w:jc w:val="both"/>
        <w:rPr>
          <w:sz w:val="22"/>
          <w:szCs w:val="22"/>
        </w:rPr>
      </w:pPr>
      <w:r w:rsidRPr="002C4DB4">
        <w:rPr>
          <w:sz w:val="22"/>
          <w:szCs w:val="22"/>
        </w:rPr>
        <w:t xml:space="preserve">Venetoklaks (Lisa 1. AbbVie Biopharmaceuticals GmbH Eesti filiaali taotlus ravimi </w:t>
      </w:r>
      <w:r w:rsidRPr="002C4DB4">
        <w:rPr>
          <w:b/>
          <w:sz w:val="22"/>
          <w:szCs w:val="22"/>
        </w:rPr>
        <w:t>Venclyxto</w:t>
      </w:r>
      <w:r w:rsidRPr="002C4DB4">
        <w:rPr>
          <w:sz w:val="22"/>
          <w:szCs w:val="22"/>
        </w:rPr>
        <w:t xml:space="preserve"> lisamiseks Eesti Haigekassa ravimite loetellu, Ravimiameti ja Eesti Haigekassa arvamused, taotleja vastuskiri EHK arvamusele, ESMO kroonili</w:t>
      </w:r>
      <w:r w:rsidR="00CF2613">
        <w:rPr>
          <w:sz w:val="22"/>
          <w:szCs w:val="22"/>
        </w:rPr>
        <w:t>s</w:t>
      </w:r>
      <w:r w:rsidRPr="002C4DB4">
        <w:rPr>
          <w:sz w:val="22"/>
          <w:szCs w:val="22"/>
        </w:rPr>
        <w:t>e lümfoidse leukeemia ravijuhend);</w:t>
      </w:r>
    </w:p>
    <w:p w14:paraId="69D9867F" w14:textId="77777777" w:rsidR="002C4DB4" w:rsidRPr="002C4DB4" w:rsidRDefault="002C4DB4" w:rsidP="002C4DB4">
      <w:pPr>
        <w:pStyle w:val="Loendilik"/>
        <w:numPr>
          <w:ilvl w:val="0"/>
          <w:numId w:val="1"/>
        </w:numPr>
        <w:spacing w:line="269" w:lineRule="auto"/>
        <w:ind w:left="567"/>
        <w:jc w:val="both"/>
        <w:rPr>
          <w:sz w:val="22"/>
          <w:szCs w:val="22"/>
        </w:rPr>
      </w:pPr>
      <w:r w:rsidRPr="002C4DB4">
        <w:rPr>
          <w:sz w:val="22"/>
          <w:szCs w:val="22"/>
        </w:rPr>
        <w:t xml:space="preserve">Vinorelbiin (Lisa 2. Orivas UAB taotlus ravimi </w:t>
      </w:r>
      <w:r w:rsidRPr="00841AA8">
        <w:rPr>
          <w:b/>
          <w:sz w:val="22"/>
          <w:szCs w:val="22"/>
        </w:rPr>
        <w:t>Navelbine</w:t>
      </w:r>
      <w:r w:rsidRPr="002C4DB4">
        <w:rPr>
          <w:sz w:val="22"/>
          <w:szCs w:val="22"/>
        </w:rPr>
        <w:t xml:space="preserve"> lisamiseks Eesti Haigekassa ravimite loetellu, Ravimiameti ja Eesti Haigekassa arvamused, ESMO mitteväikerakk-kopsuvähi ravijuhend, ESMO kaugelearenenud rinnavähi ravijuhend);  </w:t>
      </w:r>
    </w:p>
    <w:p w14:paraId="59099B97" w14:textId="77777777" w:rsidR="002C4DB4" w:rsidRPr="002C4DB4" w:rsidRDefault="002C4DB4" w:rsidP="002C4DB4">
      <w:pPr>
        <w:pStyle w:val="Loendilik"/>
        <w:numPr>
          <w:ilvl w:val="0"/>
          <w:numId w:val="1"/>
        </w:numPr>
        <w:spacing w:line="269" w:lineRule="auto"/>
        <w:ind w:left="567"/>
        <w:jc w:val="both"/>
        <w:rPr>
          <w:sz w:val="22"/>
          <w:szCs w:val="22"/>
        </w:rPr>
      </w:pPr>
      <w:r w:rsidRPr="002C4DB4">
        <w:rPr>
          <w:sz w:val="22"/>
          <w:szCs w:val="22"/>
        </w:rPr>
        <w:t xml:space="preserve">Trifluridiin + tipiratsiil (Lisa 3. Les Laboratoires Servier’i taotlus ravimi </w:t>
      </w:r>
      <w:r w:rsidRPr="00841AA8">
        <w:rPr>
          <w:b/>
          <w:sz w:val="22"/>
          <w:szCs w:val="22"/>
        </w:rPr>
        <w:t>Lonsurf</w:t>
      </w:r>
      <w:r w:rsidRPr="002C4DB4">
        <w:rPr>
          <w:sz w:val="22"/>
          <w:szCs w:val="22"/>
        </w:rPr>
        <w:t xml:space="preserve"> lisamiseks Eesti Haigekassa ravimite loetellu, uuendatud taotluse lisad 5 ja 6, Ravimiameti ja Eesti Haigekassa arvamused, taotleja vastuskiri EHK arvamusele, ravimikomisjoni 22.05.2017 koosoleku protokolli väljavõte, ESMO metastaatilise kolorektaalvähi ravijuhend);</w:t>
      </w:r>
    </w:p>
    <w:p w14:paraId="60A2C772" w14:textId="77777777" w:rsidR="000C391E" w:rsidRPr="002C4DB4" w:rsidRDefault="000C391E" w:rsidP="002C4DB4">
      <w:pPr>
        <w:pStyle w:val="Loendilik"/>
        <w:numPr>
          <w:ilvl w:val="0"/>
          <w:numId w:val="1"/>
        </w:numPr>
        <w:spacing w:line="269" w:lineRule="auto"/>
        <w:ind w:left="584" w:hanging="357"/>
        <w:contextualSpacing w:val="0"/>
        <w:jc w:val="both"/>
        <w:rPr>
          <w:sz w:val="22"/>
          <w:szCs w:val="22"/>
        </w:rPr>
      </w:pPr>
      <w:r w:rsidRPr="002C4DB4">
        <w:rPr>
          <w:sz w:val="22"/>
          <w:szCs w:val="22"/>
        </w:rPr>
        <w:t xml:space="preserve">Lisaküsimused </w:t>
      </w:r>
      <w:r w:rsidR="002C4DB4" w:rsidRPr="002C4DB4">
        <w:rPr>
          <w:sz w:val="22"/>
          <w:szCs w:val="22"/>
        </w:rPr>
        <w:t>[</w:t>
      </w:r>
      <w:r w:rsidR="00FD332B" w:rsidRPr="002C4DB4">
        <w:rPr>
          <w:sz w:val="22"/>
          <w:szCs w:val="22"/>
        </w:rPr>
        <w:t xml:space="preserve">Lisa </w:t>
      </w:r>
      <w:r w:rsidR="002C4DB4" w:rsidRPr="002C4DB4">
        <w:rPr>
          <w:sz w:val="22"/>
          <w:szCs w:val="22"/>
        </w:rPr>
        <w:t>4</w:t>
      </w:r>
      <w:r w:rsidR="00FD332B" w:rsidRPr="002C4DB4">
        <w:rPr>
          <w:sz w:val="22"/>
          <w:szCs w:val="22"/>
        </w:rPr>
        <w:t xml:space="preserve">. </w:t>
      </w:r>
      <w:r w:rsidR="002C4DB4" w:rsidRPr="002C4DB4">
        <w:rPr>
          <w:sz w:val="22"/>
          <w:szCs w:val="22"/>
        </w:rPr>
        <w:t>memo: Uue põlvkonna suukaudsete antikoagulantide (apiksabaan, dabigatraan, rivaroksabaan) soodustingimuste muutmisest kodade virvendusarütmia (I48) näidustusel</w:t>
      </w:r>
      <w:r w:rsidR="002C4DB4" w:rsidRPr="002C4DB4">
        <w:rPr>
          <w:bCs/>
          <w:sz w:val="22"/>
          <w:szCs w:val="22"/>
        </w:rPr>
        <w:t>]</w:t>
      </w:r>
    </w:p>
    <w:p w14:paraId="5FCA4737" w14:textId="77777777" w:rsidR="00727557" w:rsidRPr="00727557" w:rsidRDefault="00727557" w:rsidP="001808C2">
      <w:pPr>
        <w:spacing w:after="0" w:line="240" w:lineRule="auto"/>
        <w:ind w:right="277"/>
        <w:contextualSpacing/>
        <w:jc w:val="both"/>
        <w:rPr>
          <w:rFonts w:ascii="Times New Roman" w:eastAsia="Times New Roman" w:hAnsi="Times New Roman" w:cs="Times New Roman"/>
        </w:rPr>
      </w:pPr>
    </w:p>
    <w:p w14:paraId="6E1AEAE9" w14:textId="77777777" w:rsidR="00273E17" w:rsidRPr="0066219C" w:rsidRDefault="00A15C3B" w:rsidP="00273E17">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both"/>
        <w:outlineLvl w:val="0"/>
        <w:rPr>
          <w:rFonts w:ascii="Times New Roman" w:eastAsia="Times New Roman" w:hAnsi="Times New Roman" w:cs="Times New Roman"/>
          <w:b/>
          <w:bCs/>
          <w:caps/>
          <w:spacing w:val="15"/>
        </w:rPr>
      </w:pPr>
      <w:r>
        <w:rPr>
          <w:rFonts w:ascii="Times New Roman" w:eastAsia="Times New Roman" w:hAnsi="Times New Roman" w:cs="Times New Roman"/>
          <w:b/>
          <w:bCs/>
          <w:caps/>
          <w:color w:val="FFFFFF"/>
          <w:spacing w:val="15"/>
        </w:rPr>
        <w:t>1</w:t>
      </w:r>
      <w:r w:rsidR="002A3308">
        <w:rPr>
          <w:rFonts w:ascii="Times New Roman" w:eastAsia="Times New Roman" w:hAnsi="Times New Roman" w:cs="Times New Roman"/>
          <w:b/>
          <w:bCs/>
          <w:caps/>
          <w:color w:val="FFFFFF"/>
          <w:spacing w:val="15"/>
        </w:rPr>
        <w:t xml:space="preserve">. </w:t>
      </w:r>
      <w:r w:rsidR="00121341">
        <w:rPr>
          <w:rFonts w:ascii="Times New Roman" w:eastAsia="Times New Roman" w:hAnsi="Times New Roman" w:cs="Times New Roman"/>
          <w:b/>
          <w:bCs/>
          <w:caps/>
          <w:color w:val="FFFFFF"/>
          <w:spacing w:val="15"/>
        </w:rPr>
        <w:t>VENETOKLAKS</w:t>
      </w:r>
    </w:p>
    <w:p w14:paraId="19B2D5FF" w14:textId="77777777" w:rsidR="00573205" w:rsidRPr="000E452F" w:rsidRDefault="00573205" w:rsidP="008A5A97">
      <w:pPr>
        <w:pStyle w:val="Normaallaadveeb"/>
        <w:spacing w:before="120" w:beforeAutospacing="0" w:after="120" w:afterAutospacing="0" w:line="269" w:lineRule="auto"/>
        <w:jc w:val="both"/>
        <w:rPr>
          <w:rFonts w:eastAsiaTheme="minorEastAsia"/>
          <w:bCs/>
          <w:sz w:val="22"/>
          <w:szCs w:val="22"/>
        </w:rPr>
      </w:pPr>
      <w:r w:rsidRPr="000E452F">
        <w:rPr>
          <w:rFonts w:eastAsiaTheme="minorEastAsia"/>
          <w:b/>
          <w:bCs/>
          <w:sz w:val="22"/>
          <w:szCs w:val="22"/>
        </w:rPr>
        <w:t xml:space="preserve">Taotlus: </w:t>
      </w:r>
      <w:r w:rsidRPr="000E452F">
        <w:rPr>
          <w:rFonts w:eastAsiaTheme="minorEastAsia"/>
          <w:bCs/>
          <w:sz w:val="22"/>
          <w:szCs w:val="22"/>
        </w:rPr>
        <w:t xml:space="preserve">100%, </w:t>
      </w:r>
      <w:bookmarkStart w:id="1" w:name="_Hlk486604402"/>
      <w:r w:rsidRPr="000E452F">
        <w:rPr>
          <w:rFonts w:eastAsiaTheme="minorEastAsia"/>
          <w:bCs/>
          <w:sz w:val="22"/>
          <w:szCs w:val="22"/>
        </w:rPr>
        <w:t>monoteraapiana kroonilise lümfoidse leukeemia raviks patsientidele, kellel esineb 17p deletsioon või TP53 mutatsioon ning kelle haigus ei ole allunud eelnevale ibrutiniibravile või kellele ibrutiniibravi on osutunud vastunäidustatuks</w:t>
      </w:r>
      <w:bookmarkEnd w:id="1"/>
      <w:r w:rsidRPr="000E452F">
        <w:rPr>
          <w:rFonts w:eastAsiaTheme="minorEastAsia"/>
          <w:bCs/>
          <w:sz w:val="22"/>
          <w:szCs w:val="22"/>
        </w:rPr>
        <w:t xml:space="preserve">. </w:t>
      </w:r>
    </w:p>
    <w:p w14:paraId="7CC85A18" w14:textId="77777777" w:rsidR="00573205" w:rsidRPr="0099384A" w:rsidRDefault="00573205" w:rsidP="008A5A97">
      <w:pPr>
        <w:pStyle w:val="Normaallaadveeb"/>
        <w:spacing w:before="120" w:beforeAutospacing="0" w:after="120" w:afterAutospacing="0" w:line="269" w:lineRule="auto"/>
        <w:rPr>
          <w:rFonts w:eastAsiaTheme="minorEastAsia"/>
          <w:bCs/>
          <w:sz w:val="22"/>
          <w:szCs w:val="22"/>
        </w:rPr>
      </w:pPr>
      <w:r w:rsidRPr="0099384A">
        <w:rPr>
          <w:rFonts w:eastAsiaTheme="minorEastAsia"/>
          <w:b/>
          <w:bCs/>
          <w:sz w:val="22"/>
          <w:szCs w:val="22"/>
        </w:rPr>
        <w:t>Praegu tervishoiuteenuste (321R) või soodusravimite loetelu raames hüvitatav:</w:t>
      </w:r>
    </w:p>
    <w:p w14:paraId="2D354F58" w14:textId="77777777" w:rsidR="00573205" w:rsidRPr="0099384A" w:rsidRDefault="00573205" w:rsidP="00FC35FB">
      <w:pPr>
        <w:pStyle w:val="Normaallaadveeb"/>
        <w:numPr>
          <w:ilvl w:val="0"/>
          <w:numId w:val="9"/>
        </w:numPr>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t>rituksimabi kombinatsioonravi fludarabiini ja tsüklofosfamiidiga (FCR) 1. rea ravina heas üldseisundis füüsiliselt aktiivsel patsiendil ning 2. rea keemiaravina haiguse progresseerumise korral fludarabiini mittesisaldanud 1. rea ravi järel või kui haigus on resistentne 1. rea ravile;</w:t>
      </w:r>
    </w:p>
    <w:p w14:paraId="7131A9EC" w14:textId="77777777" w:rsidR="00573205" w:rsidRPr="0099384A" w:rsidRDefault="00573205" w:rsidP="00FC35FB">
      <w:pPr>
        <w:pStyle w:val="Normaallaadveeb"/>
        <w:numPr>
          <w:ilvl w:val="0"/>
          <w:numId w:val="9"/>
        </w:numPr>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t>tsüklofosfamiid + vinkristiin + doksorubitsiin + prednisoloom + rituksimab (R-CHOP) Richteri ransformatsiooni korral;</w:t>
      </w:r>
    </w:p>
    <w:p w14:paraId="1950C377" w14:textId="77777777" w:rsidR="00573205" w:rsidRPr="0099384A" w:rsidRDefault="00573205" w:rsidP="00FC35FB">
      <w:pPr>
        <w:pStyle w:val="Normaallaadveeb"/>
        <w:numPr>
          <w:ilvl w:val="0"/>
          <w:numId w:val="9"/>
        </w:numPr>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t>rituksimabi kombinatsioon bendamustiiniga 1. rea ravina heas üldseisundis (ECOG 0-1) patsiendile, kes on vanem kui 65 eluaastat või kellel on suurenenud risk infektsioonide tekkeks;</w:t>
      </w:r>
    </w:p>
    <w:p w14:paraId="4A67621B" w14:textId="77777777" w:rsidR="00573205" w:rsidRPr="0099384A" w:rsidRDefault="00573205" w:rsidP="00FC35FB">
      <w:pPr>
        <w:pStyle w:val="Normaallaadveeb"/>
        <w:numPr>
          <w:ilvl w:val="0"/>
          <w:numId w:val="9"/>
        </w:numPr>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lastRenderedPageBreak/>
        <w:t>CD20 antikeha (ofatumumab, obinutuzumab või rituksimab) kombinatsioon kloorambutsiiliga 1. rea ravina patsientidele, kellele ravi fludarabiinil baseeruvate skeemidega on vastunäidustatud;</w:t>
      </w:r>
    </w:p>
    <w:p w14:paraId="7B2B7049" w14:textId="77777777" w:rsidR="00573205" w:rsidRPr="0099384A" w:rsidRDefault="00573205" w:rsidP="00FC35FB">
      <w:pPr>
        <w:pStyle w:val="Normaallaadveeb"/>
        <w:numPr>
          <w:ilvl w:val="0"/>
          <w:numId w:val="9"/>
        </w:numPr>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t>rituksimabi ja bendamustiini kombinatsioon või CD20 antikeha monoteraapia 2. ja enama rea ravina;</w:t>
      </w:r>
    </w:p>
    <w:p w14:paraId="4C7F8F7D" w14:textId="77777777" w:rsidR="00573205" w:rsidRPr="0099384A" w:rsidRDefault="00573205" w:rsidP="00FC35FB">
      <w:pPr>
        <w:pStyle w:val="Normaallaadveeb"/>
        <w:numPr>
          <w:ilvl w:val="0"/>
          <w:numId w:val="9"/>
        </w:numPr>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t>bendamustiini monoteraapia 3. raviliinis kui kahes esimeses raviliinis on kasutatud kahte erinevat monoklonaalset antikeha;</w:t>
      </w:r>
    </w:p>
    <w:p w14:paraId="54B088B3" w14:textId="77777777" w:rsidR="00573205" w:rsidRPr="0099384A" w:rsidRDefault="00573205" w:rsidP="00FC35FB">
      <w:pPr>
        <w:pStyle w:val="Normaallaadveeb"/>
        <w:numPr>
          <w:ilvl w:val="0"/>
          <w:numId w:val="9"/>
        </w:numPr>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t xml:space="preserve">100% soodusmääraga kloorambutsiil ja ibrutiniib monoteraapiana patsientidele, kellel esineb 17p deletsioon või TP53 mutatsioon ning kes on eelnevalt saanud vähemalt ühe ravikuuri ja haigus ei ole eelnevale ravile allunud või on taastekkinud lühema aja kui 36 kuu jooksul eelneva ravi alustamisest alates. </w:t>
      </w:r>
    </w:p>
    <w:p w14:paraId="13791026" w14:textId="77777777" w:rsidR="00573205" w:rsidRPr="0099384A" w:rsidRDefault="00573205" w:rsidP="008A5A97">
      <w:pPr>
        <w:pStyle w:val="Normaallaadveeb"/>
        <w:kinsoku w:val="0"/>
        <w:overflowPunct w:val="0"/>
        <w:spacing w:before="120" w:beforeAutospacing="0" w:after="120" w:afterAutospacing="0" w:line="269" w:lineRule="auto"/>
        <w:textAlignment w:val="baseline"/>
        <w:rPr>
          <w:rFonts w:eastAsiaTheme="minorEastAsia"/>
          <w:b/>
          <w:bCs/>
          <w:sz w:val="22"/>
          <w:szCs w:val="22"/>
          <w:u w:val="single"/>
        </w:rPr>
      </w:pPr>
      <w:r w:rsidRPr="0099384A">
        <w:rPr>
          <w:rFonts w:eastAsiaTheme="minorEastAsia"/>
          <w:b/>
          <w:bCs/>
          <w:sz w:val="22"/>
          <w:szCs w:val="22"/>
          <w:u w:val="single"/>
        </w:rPr>
        <w:t>Taotluse hindamine RaKS kriteeriumide alusel</w:t>
      </w:r>
    </w:p>
    <w:p w14:paraId="266D4278" w14:textId="77777777" w:rsidR="00573205" w:rsidRPr="0099384A" w:rsidRDefault="00573205" w:rsidP="008A5A97">
      <w:pPr>
        <w:pStyle w:val="Normaallaadveeb"/>
        <w:kinsoku w:val="0"/>
        <w:overflowPunct w:val="0"/>
        <w:spacing w:before="120" w:beforeAutospacing="0" w:after="120" w:afterAutospacing="0" w:line="269" w:lineRule="auto"/>
        <w:textAlignment w:val="baseline"/>
        <w:rPr>
          <w:rFonts w:eastAsiaTheme="minorEastAsia"/>
          <w:b/>
          <w:bCs/>
          <w:sz w:val="22"/>
          <w:szCs w:val="22"/>
        </w:rPr>
      </w:pPr>
      <w:r w:rsidRPr="0099384A">
        <w:rPr>
          <w:rFonts w:eastAsiaTheme="minorEastAsia"/>
          <w:b/>
          <w:bCs/>
          <w:sz w:val="22"/>
          <w:szCs w:val="22"/>
        </w:rPr>
        <w:t>Isiku vajadus saada ravimit tulenevalt tervishoiuteenuse osutamisest:</w:t>
      </w:r>
    </w:p>
    <w:p w14:paraId="489BC611" w14:textId="77777777" w:rsidR="00573205" w:rsidRPr="0099384A" w:rsidRDefault="00573205" w:rsidP="008A5A97">
      <w:pPr>
        <w:pStyle w:val="Normaallaadveeb"/>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t xml:space="preserve">Krooniline lümfoidne leukeemia (KLL) on valgeliblede pahaloomuline kasvaja, mille puhul tekib aegamööda juurde küpsetele lümfotsüütidele sarnaseid kasvajalisi, ilma normaalse funktsioonita B-lümfotsüüte, mis kuhjuvad luuüdis, veres, lümfisõlmedes, põrnas ja teistes elundites. Keskmine vanus diagnoosi hetkel on 72 aastat. KLL on ravimatu haigus. </w:t>
      </w:r>
      <w:r w:rsidR="00CF2613">
        <w:rPr>
          <w:rFonts w:eastAsiaTheme="minorEastAsia"/>
          <w:bCs/>
          <w:sz w:val="22"/>
          <w:szCs w:val="22"/>
        </w:rPr>
        <w:t>Elulemuse mediaan</w:t>
      </w:r>
      <w:r w:rsidRPr="0099384A">
        <w:rPr>
          <w:rFonts w:eastAsiaTheme="minorEastAsia"/>
          <w:bCs/>
          <w:sz w:val="22"/>
          <w:szCs w:val="22"/>
        </w:rPr>
        <w:t xml:space="preserve"> on 6</w:t>
      </w:r>
      <w:r w:rsidR="000731E1" w:rsidRPr="0099384A">
        <w:rPr>
          <w:rFonts w:eastAsiaTheme="minorEastAsia"/>
          <w:bCs/>
          <w:sz w:val="22"/>
          <w:szCs w:val="22"/>
        </w:rPr>
        <w:t>,</w:t>
      </w:r>
      <w:r w:rsidRPr="0099384A">
        <w:rPr>
          <w:rFonts w:eastAsiaTheme="minorEastAsia"/>
          <w:bCs/>
          <w:sz w:val="22"/>
          <w:szCs w:val="22"/>
        </w:rPr>
        <w:t>5</w:t>
      </w:r>
      <w:r w:rsidR="000731E1" w:rsidRPr="0099384A">
        <w:rPr>
          <w:rFonts w:eastAsiaTheme="minorEastAsia"/>
          <w:bCs/>
          <w:sz w:val="22"/>
          <w:szCs w:val="22"/>
        </w:rPr>
        <w:t xml:space="preserve"> </w:t>
      </w:r>
      <w:r w:rsidRPr="0099384A">
        <w:rPr>
          <w:rFonts w:eastAsiaTheme="minorEastAsia"/>
          <w:bCs/>
          <w:sz w:val="22"/>
          <w:szCs w:val="22"/>
        </w:rPr>
        <w:t>-</w:t>
      </w:r>
      <w:r w:rsidR="000731E1" w:rsidRPr="0099384A">
        <w:rPr>
          <w:rFonts w:eastAsiaTheme="minorEastAsia"/>
          <w:bCs/>
          <w:sz w:val="22"/>
          <w:szCs w:val="22"/>
        </w:rPr>
        <w:t xml:space="preserve"> </w:t>
      </w:r>
      <w:r w:rsidRPr="0099384A">
        <w:rPr>
          <w:rFonts w:eastAsiaTheme="minorEastAsia"/>
          <w:bCs/>
          <w:sz w:val="22"/>
          <w:szCs w:val="22"/>
        </w:rPr>
        <w:t>10 aastat, olenevalt haiguse raskusastmest. Uuringutes on leitud, et kümne aasta elulemus on vahemikus 45</w:t>
      </w:r>
      <w:r w:rsidR="000C7695" w:rsidRPr="0099384A">
        <w:rPr>
          <w:rFonts w:eastAsiaTheme="minorEastAsia"/>
          <w:bCs/>
          <w:sz w:val="22"/>
          <w:szCs w:val="22"/>
        </w:rPr>
        <w:t xml:space="preserve"> </w:t>
      </w:r>
      <w:r w:rsidRPr="0099384A">
        <w:rPr>
          <w:rFonts w:eastAsiaTheme="minorEastAsia"/>
          <w:bCs/>
          <w:sz w:val="22"/>
          <w:szCs w:val="22"/>
        </w:rPr>
        <w:t>-</w:t>
      </w:r>
      <w:r w:rsidR="000C7695" w:rsidRPr="0099384A">
        <w:rPr>
          <w:rFonts w:eastAsiaTheme="minorEastAsia"/>
          <w:bCs/>
          <w:sz w:val="22"/>
          <w:szCs w:val="22"/>
        </w:rPr>
        <w:t xml:space="preserve"> </w:t>
      </w:r>
      <w:r w:rsidRPr="0099384A">
        <w:rPr>
          <w:rFonts w:eastAsiaTheme="minorEastAsia"/>
          <w:bCs/>
          <w:sz w:val="22"/>
          <w:szCs w:val="22"/>
        </w:rPr>
        <w:t xml:space="preserve">59%. Elulemus retsidiveerunud ja refraktaarse (R/R) KLL patsientide puhul jääb alla 2 aasta.  </w:t>
      </w:r>
    </w:p>
    <w:p w14:paraId="1B0A572A" w14:textId="77777777" w:rsidR="00573205" w:rsidRPr="0099384A" w:rsidRDefault="00573205" w:rsidP="008A5A97">
      <w:pPr>
        <w:pStyle w:val="Normaallaadveeb"/>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t xml:space="preserve">Kromosoom 17p deletsioon ehk del(17p) ning TP53 mutatsioon on olulised indikaatorid KLL prognoosi seisukohalt. Andmed enne suunatud ravi kasutusele võtmist on näidanud, et: </w:t>
      </w:r>
    </w:p>
    <w:p w14:paraId="76BEA9B1" w14:textId="77777777" w:rsidR="00573205" w:rsidRPr="0099384A" w:rsidRDefault="00573205" w:rsidP="008A5A97">
      <w:pPr>
        <w:pStyle w:val="Normaallaadveeb"/>
        <w:kinsoku w:val="0"/>
        <w:overflowPunct w:val="0"/>
        <w:spacing w:before="120" w:beforeAutospacing="0" w:after="120" w:afterAutospacing="0" w:line="269" w:lineRule="auto"/>
        <w:textAlignment w:val="baseline"/>
        <w:rPr>
          <w:rFonts w:eastAsiaTheme="minorEastAsia"/>
          <w:bCs/>
          <w:sz w:val="22"/>
          <w:szCs w:val="22"/>
        </w:rPr>
      </w:pPr>
      <w:r w:rsidRPr="0099384A">
        <w:rPr>
          <w:rFonts w:eastAsiaTheme="minorEastAsia"/>
          <w:bCs/>
          <w:sz w:val="22"/>
          <w:szCs w:val="22"/>
        </w:rPr>
        <w:t>•</w:t>
      </w:r>
      <w:r w:rsidRPr="0099384A">
        <w:rPr>
          <w:rFonts w:eastAsiaTheme="minorEastAsia"/>
          <w:bCs/>
          <w:sz w:val="22"/>
          <w:szCs w:val="22"/>
        </w:rPr>
        <w:tab/>
        <w:t>Del(17p)-ga patsientidel on märkimisväärselt halvem prognoos kui normaalse kromosoomi profiiliga patsientidel või teistsuguste kromosoomianomaaliatega patsientidel;</w:t>
      </w:r>
    </w:p>
    <w:p w14:paraId="0B80D76D" w14:textId="77777777" w:rsidR="00573205" w:rsidRPr="0099384A" w:rsidRDefault="00573205" w:rsidP="008A5A97">
      <w:pPr>
        <w:pStyle w:val="Normaallaadveeb"/>
        <w:kinsoku w:val="0"/>
        <w:overflowPunct w:val="0"/>
        <w:spacing w:before="120" w:beforeAutospacing="0" w:after="120" w:afterAutospacing="0" w:line="269" w:lineRule="auto"/>
        <w:textAlignment w:val="baseline"/>
        <w:rPr>
          <w:rFonts w:eastAsiaTheme="minorEastAsia"/>
          <w:bCs/>
          <w:sz w:val="22"/>
          <w:szCs w:val="22"/>
        </w:rPr>
      </w:pPr>
      <w:r w:rsidRPr="0099384A">
        <w:rPr>
          <w:rFonts w:eastAsiaTheme="minorEastAsia"/>
          <w:bCs/>
          <w:sz w:val="22"/>
          <w:szCs w:val="22"/>
        </w:rPr>
        <w:t>•</w:t>
      </w:r>
      <w:r w:rsidRPr="0099384A">
        <w:rPr>
          <w:rFonts w:eastAsiaTheme="minorEastAsia"/>
          <w:bCs/>
          <w:sz w:val="22"/>
          <w:szCs w:val="22"/>
        </w:rPr>
        <w:tab/>
        <w:t xml:space="preserve">R/R KLL patsientidel, kellel esineb del(17p) mutatsioon, on prognoos elulemusele &lt; 1 aasta. </w:t>
      </w:r>
    </w:p>
    <w:p w14:paraId="68D52844" w14:textId="77777777" w:rsidR="00573205" w:rsidRPr="0099384A" w:rsidRDefault="00573205" w:rsidP="008A5A97">
      <w:pPr>
        <w:pStyle w:val="Normaallaadveeb"/>
        <w:kinsoku w:val="0"/>
        <w:overflowPunct w:val="0"/>
        <w:spacing w:before="120" w:beforeAutospacing="0" w:after="120" w:afterAutospacing="0" w:line="269" w:lineRule="auto"/>
        <w:jc w:val="both"/>
        <w:textAlignment w:val="baseline"/>
        <w:rPr>
          <w:rFonts w:eastAsiaTheme="minorEastAsia"/>
          <w:bCs/>
          <w:sz w:val="22"/>
          <w:szCs w:val="22"/>
        </w:rPr>
      </w:pPr>
      <w:r w:rsidRPr="0099384A">
        <w:rPr>
          <w:rFonts w:eastAsiaTheme="minorEastAsia"/>
          <w:bCs/>
          <w:sz w:val="22"/>
          <w:szCs w:val="22"/>
        </w:rPr>
        <w:t>Patsiendid, kellel on R/R del(17p) KLL, on vaid vähestel juhtudel saavutanud täieliku remissiooni, kasutades praegu saadavalolevaid ravimeid, kaasaarvatud B</w:t>
      </w:r>
      <w:r w:rsidR="005A75D0">
        <w:rPr>
          <w:rFonts w:eastAsiaTheme="minorEastAsia"/>
          <w:bCs/>
          <w:sz w:val="22"/>
          <w:szCs w:val="22"/>
        </w:rPr>
        <w:t>-raku antigeeni retseptorid (B</w:t>
      </w:r>
      <w:r w:rsidRPr="0099384A">
        <w:rPr>
          <w:rFonts w:eastAsiaTheme="minorEastAsia"/>
          <w:bCs/>
          <w:sz w:val="22"/>
          <w:szCs w:val="22"/>
        </w:rPr>
        <w:t>CR</w:t>
      </w:r>
      <w:r w:rsidR="005A75D0">
        <w:rPr>
          <w:rFonts w:eastAsiaTheme="minorEastAsia"/>
          <w:bCs/>
          <w:sz w:val="22"/>
          <w:szCs w:val="22"/>
        </w:rPr>
        <w:t>)</w:t>
      </w:r>
      <w:r w:rsidRPr="0099384A">
        <w:rPr>
          <w:rFonts w:eastAsiaTheme="minorEastAsia"/>
          <w:bCs/>
          <w:sz w:val="22"/>
          <w:szCs w:val="22"/>
        </w:rPr>
        <w:t>. Näiteks ibrutiniibi monoteraapia puhul saavutasid täieliku remissiooni vaid 2</w:t>
      </w:r>
      <w:r w:rsidR="00FC35FB" w:rsidRPr="0099384A">
        <w:rPr>
          <w:rFonts w:eastAsiaTheme="minorEastAsia"/>
          <w:bCs/>
          <w:sz w:val="22"/>
          <w:szCs w:val="22"/>
        </w:rPr>
        <w:t xml:space="preserve"> </w:t>
      </w:r>
      <w:r w:rsidRPr="0099384A">
        <w:rPr>
          <w:rFonts w:eastAsiaTheme="minorEastAsia"/>
          <w:bCs/>
          <w:sz w:val="22"/>
          <w:szCs w:val="22"/>
        </w:rPr>
        <w:t>-</w:t>
      </w:r>
      <w:r w:rsidR="00FC35FB" w:rsidRPr="0099384A">
        <w:rPr>
          <w:rFonts w:eastAsiaTheme="minorEastAsia"/>
          <w:bCs/>
          <w:sz w:val="22"/>
          <w:szCs w:val="22"/>
        </w:rPr>
        <w:t xml:space="preserve"> </w:t>
      </w:r>
      <w:r w:rsidRPr="0099384A">
        <w:rPr>
          <w:rFonts w:eastAsiaTheme="minorEastAsia"/>
          <w:bCs/>
          <w:sz w:val="22"/>
          <w:szCs w:val="22"/>
        </w:rPr>
        <w:t xml:space="preserve">6% patsientidest. Ibrutiniibravi järgselt on KLL patsientide elulemuse mediaan </w:t>
      </w:r>
      <w:r w:rsidR="00CF2613">
        <w:rPr>
          <w:rFonts w:eastAsiaTheme="minorEastAsia"/>
          <w:bCs/>
          <w:sz w:val="22"/>
          <w:szCs w:val="22"/>
        </w:rPr>
        <w:t>erinevatel andmetel</w:t>
      </w:r>
      <w:r w:rsidR="00CF2613" w:rsidRPr="0099384A">
        <w:rPr>
          <w:rFonts w:eastAsiaTheme="minorEastAsia"/>
          <w:bCs/>
          <w:sz w:val="22"/>
          <w:szCs w:val="22"/>
        </w:rPr>
        <w:t xml:space="preserve"> </w:t>
      </w:r>
      <w:r w:rsidRPr="0099384A">
        <w:rPr>
          <w:rFonts w:eastAsiaTheme="minorEastAsia"/>
          <w:bCs/>
          <w:sz w:val="22"/>
          <w:szCs w:val="22"/>
        </w:rPr>
        <w:t xml:space="preserve">3,1 kuni 17,6 kuud. </w:t>
      </w:r>
    </w:p>
    <w:p w14:paraId="5476B755" w14:textId="77777777" w:rsidR="006E7B44" w:rsidRPr="0099384A" w:rsidRDefault="00573205" w:rsidP="008A5A97">
      <w:pPr>
        <w:pStyle w:val="Normaallaadveeb"/>
        <w:kinsoku w:val="0"/>
        <w:overflowPunct w:val="0"/>
        <w:spacing w:before="120" w:beforeAutospacing="0" w:after="120" w:afterAutospacing="0" w:line="269" w:lineRule="auto"/>
        <w:jc w:val="both"/>
        <w:textAlignment w:val="baseline"/>
        <w:rPr>
          <w:rFonts w:eastAsiaTheme="minorEastAsia"/>
          <w:sz w:val="22"/>
          <w:szCs w:val="22"/>
        </w:rPr>
      </w:pPr>
      <w:r w:rsidRPr="0099384A">
        <w:rPr>
          <w:rFonts w:eastAsiaTheme="minorEastAsia"/>
          <w:bCs/>
          <w:sz w:val="22"/>
          <w:szCs w:val="22"/>
        </w:rPr>
        <w:t>Del(17p) mutatsiooni levimus on värskelt diagnoositud KLL patsientide hulgas vahemikus 3,4% kuni 12,6%. Retsidiveerunud ja refraktaarse KLLiga patsientide hulgas on levimus 17,9% kuni 53%. KLL esinemissagedus Eestis on 2013. aasta andmetel 36 uut juhtu meeste puhul ja 35 uut juhtu naiste hulgas. Eesti ekspertide hinnangul on Eestis del(17p) mutatsiooniga 5</w:t>
      </w:r>
      <w:r w:rsidR="0018549C" w:rsidRPr="0099384A">
        <w:rPr>
          <w:rFonts w:eastAsiaTheme="minorEastAsia"/>
          <w:bCs/>
          <w:sz w:val="22"/>
          <w:szCs w:val="22"/>
        </w:rPr>
        <w:t xml:space="preserve"> </w:t>
      </w:r>
      <w:r w:rsidRPr="0099384A">
        <w:rPr>
          <w:rFonts w:eastAsiaTheme="minorEastAsia"/>
          <w:bCs/>
          <w:sz w:val="22"/>
          <w:szCs w:val="22"/>
        </w:rPr>
        <w:t>-</w:t>
      </w:r>
      <w:r w:rsidR="0018549C" w:rsidRPr="0099384A">
        <w:rPr>
          <w:rFonts w:eastAsiaTheme="minorEastAsia"/>
          <w:bCs/>
          <w:sz w:val="22"/>
          <w:szCs w:val="22"/>
        </w:rPr>
        <w:t xml:space="preserve"> </w:t>
      </w:r>
      <w:r w:rsidRPr="0099384A">
        <w:rPr>
          <w:rFonts w:eastAsiaTheme="minorEastAsia"/>
          <w:bCs/>
          <w:sz w:val="22"/>
          <w:szCs w:val="22"/>
        </w:rPr>
        <w:t>7 patsienti aastas, kes vajaksid ravi ibrutiniibiga. Ligikaudselt 80% (4</w:t>
      </w:r>
      <w:r w:rsidR="0018549C" w:rsidRPr="0099384A">
        <w:rPr>
          <w:rFonts w:eastAsiaTheme="minorEastAsia"/>
          <w:bCs/>
          <w:sz w:val="22"/>
          <w:szCs w:val="22"/>
        </w:rPr>
        <w:t xml:space="preserve"> </w:t>
      </w:r>
      <w:r w:rsidRPr="0099384A">
        <w:rPr>
          <w:rFonts w:eastAsiaTheme="minorEastAsia"/>
          <w:bCs/>
          <w:sz w:val="22"/>
          <w:szCs w:val="22"/>
        </w:rPr>
        <w:t>-</w:t>
      </w:r>
      <w:r w:rsidR="0018549C" w:rsidRPr="0099384A">
        <w:rPr>
          <w:rFonts w:eastAsiaTheme="minorEastAsia"/>
          <w:bCs/>
          <w:sz w:val="22"/>
          <w:szCs w:val="22"/>
        </w:rPr>
        <w:t xml:space="preserve"> </w:t>
      </w:r>
      <w:r w:rsidRPr="0099384A">
        <w:rPr>
          <w:rFonts w:eastAsiaTheme="minorEastAsia"/>
          <w:bCs/>
          <w:sz w:val="22"/>
          <w:szCs w:val="22"/>
        </w:rPr>
        <w:t xml:space="preserve">6 patsienti aastas) ibrutiniibravi saavatest patsientidest vajaksid täiendavat ravivõimalust ibrutiniibravi lõpetamise järgselt. </w:t>
      </w:r>
    </w:p>
    <w:p w14:paraId="696410AB" w14:textId="77777777" w:rsidR="00840BEF" w:rsidRPr="005421B4" w:rsidRDefault="00840BEF" w:rsidP="008F10FE">
      <w:pPr>
        <w:spacing w:before="120" w:after="120" w:line="269" w:lineRule="auto"/>
        <w:jc w:val="both"/>
        <w:rPr>
          <w:rFonts w:ascii="Times New Roman" w:eastAsia="Calibri" w:hAnsi="Times New Roman" w:cs="Times New Roman"/>
          <w:b/>
          <w:lang w:eastAsia="et-EE"/>
        </w:rPr>
      </w:pPr>
      <w:r w:rsidRPr="005421B4">
        <w:rPr>
          <w:rFonts w:ascii="Times New Roman" w:eastAsia="Calibri" w:hAnsi="Times New Roman" w:cs="Times New Roman"/>
          <w:b/>
          <w:lang w:eastAsia="et-EE"/>
        </w:rPr>
        <w:t xml:space="preserve">Alternatiivsete ravimite või raviviiside olemasolu: </w:t>
      </w:r>
    </w:p>
    <w:p w14:paraId="3EE05354" w14:textId="77777777" w:rsidR="00691C99" w:rsidRPr="005421B4" w:rsidRDefault="00153A85" w:rsidP="008F10FE">
      <w:pPr>
        <w:pStyle w:val="Normaallaadveeb"/>
        <w:kinsoku w:val="0"/>
        <w:overflowPunct w:val="0"/>
        <w:spacing w:before="120" w:beforeAutospacing="0" w:after="120" w:afterAutospacing="0" w:line="269" w:lineRule="auto"/>
        <w:jc w:val="both"/>
        <w:textAlignment w:val="baseline"/>
        <w:rPr>
          <w:rFonts w:eastAsiaTheme="minorEastAsia"/>
          <w:sz w:val="22"/>
          <w:szCs w:val="22"/>
        </w:rPr>
      </w:pPr>
      <w:r>
        <w:rPr>
          <w:rFonts w:eastAsiaTheme="minorEastAsia"/>
          <w:sz w:val="22"/>
          <w:szCs w:val="22"/>
        </w:rPr>
        <w:t xml:space="preserve">Venetoklaksiga samas reas alternatiivseid ravimeid ei ole. </w:t>
      </w:r>
    </w:p>
    <w:p w14:paraId="3EE983E0" w14:textId="77777777" w:rsidR="00840BEF" w:rsidRPr="005421B4" w:rsidRDefault="00840BEF" w:rsidP="008F10FE">
      <w:pPr>
        <w:spacing w:before="120" w:after="120" w:line="269" w:lineRule="auto"/>
        <w:jc w:val="both"/>
        <w:rPr>
          <w:rFonts w:ascii="Times New Roman" w:eastAsia="Calibri" w:hAnsi="Times New Roman" w:cs="Times New Roman"/>
          <w:b/>
          <w:lang w:eastAsia="et-EE"/>
        </w:rPr>
      </w:pPr>
      <w:r w:rsidRPr="005421B4">
        <w:rPr>
          <w:rFonts w:ascii="Times New Roman" w:eastAsia="Calibri" w:hAnsi="Times New Roman" w:cs="Times New Roman"/>
          <w:b/>
          <w:lang w:eastAsia="et-EE"/>
        </w:rPr>
        <w:t>Ravimi tõendatud efektiivsus ja ohutus:</w:t>
      </w:r>
    </w:p>
    <w:p w14:paraId="1F74F15C" w14:textId="77777777" w:rsidR="00CE52E6" w:rsidRDefault="008A6CA9" w:rsidP="009C5C54">
      <w:pPr>
        <w:spacing w:before="120" w:after="120" w:line="269" w:lineRule="auto"/>
        <w:jc w:val="both"/>
        <w:rPr>
          <w:rFonts w:ascii="Times New Roman" w:eastAsia="Calibri" w:hAnsi="Times New Roman" w:cs="Times New Roman"/>
          <w:lang w:eastAsia="et-EE"/>
        </w:rPr>
      </w:pPr>
      <w:r w:rsidRPr="00EA1514">
        <w:rPr>
          <w:rFonts w:ascii="Times New Roman" w:eastAsia="Calibri" w:hAnsi="Times New Roman" w:cs="Times New Roman"/>
          <w:lang w:eastAsia="et-EE"/>
        </w:rPr>
        <w:t xml:space="preserve">Avatud multitsentrilises </w:t>
      </w:r>
      <w:r w:rsidR="009C5C54" w:rsidRPr="00EA1514">
        <w:rPr>
          <w:rFonts w:ascii="Times New Roman" w:eastAsia="Calibri" w:hAnsi="Times New Roman" w:cs="Times New Roman"/>
          <w:lang w:eastAsia="et-EE"/>
        </w:rPr>
        <w:t>II faasi uuringus</w:t>
      </w:r>
      <w:r w:rsidRPr="00EA1514">
        <w:rPr>
          <w:rFonts w:ascii="Times New Roman" w:eastAsia="Calibri" w:hAnsi="Times New Roman" w:cs="Times New Roman"/>
          <w:lang w:eastAsia="et-EE"/>
        </w:rPr>
        <w:t xml:space="preserve"> (Stilgenbauer S </w:t>
      </w:r>
      <w:r w:rsidRPr="00EA1514">
        <w:rPr>
          <w:rFonts w:ascii="Times New Roman" w:eastAsia="Calibri" w:hAnsi="Times New Roman" w:cs="Times New Roman"/>
          <w:i/>
          <w:lang w:eastAsia="et-EE"/>
        </w:rPr>
        <w:t>et al</w:t>
      </w:r>
      <w:r w:rsidRPr="00EA1514">
        <w:rPr>
          <w:rFonts w:ascii="Times New Roman" w:eastAsia="Calibri" w:hAnsi="Times New Roman" w:cs="Times New Roman"/>
          <w:lang w:eastAsia="et-EE"/>
        </w:rPr>
        <w:t>, 2016)</w:t>
      </w:r>
      <w:r>
        <w:rPr>
          <w:rFonts w:ascii="Times New Roman" w:eastAsia="Calibri" w:hAnsi="Times New Roman" w:cs="Times New Roman"/>
          <w:lang w:eastAsia="et-EE"/>
        </w:rPr>
        <w:t xml:space="preserve"> hinnati venetoklaksi toimet 107-l 17p deletsiooniga ja retsidiveerunud või refraktaarse haigusega KLL-ga täiskasvanud patsiendil. </w:t>
      </w:r>
      <w:r w:rsidR="009C5C54" w:rsidRPr="009C5C54">
        <w:rPr>
          <w:rFonts w:ascii="Times New Roman" w:eastAsia="Calibri" w:hAnsi="Times New Roman" w:cs="Times New Roman"/>
          <w:lang w:eastAsia="et-EE"/>
        </w:rPr>
        <w:t xml:space="preserve"> Retsidiveerunud või refraktaarne tähendas, et patsient oli läbinud vähemalt ühe rea ravi ja vähemalt 2 ravitsüklit. Esmane tulemusnäitaja oli üldise ravivastuse määr (osaline remissioon või par</w:t>
      </w:r>
      <w:r w:rsidR="00CE52E6">
        <w:rPr>
          <w:rFonts w:ascii="Times New Roman" w:eastAsia="Calibri" w:hAnsi="Times New Roman" w:cs="Times New Roman"/>
          <w:lang w:eastAsia="et-EE"/>
        </w:rPr>
        <w:t xml:space="preserve">em). </w:t>
      </w:r>
      <w:r w:rsidR="009C5C54" w:rsidRPr="009C5C54">
        <w:rPr>
          <w:rFonts w:ascii="Times New Roman" w:eastAsia="Calibri" w:hAnsi="Times New Roman" w:cs="Times New Roman"/>
          <w:lang w:eastAsia="et-EE"/>
        </w:rPr>
        <w:t xml:space="preserve">Andmete analüüsi ajaks oli ravi saamas veel 65% patsientidest, </w:t>
      </w:r>
      <w:r w:rsidR="00F14B41">
        <w:rPr>
          <w:rFonts w:ascii="Times New Roman" w:eastAsia="Calibri" w:hAnsi="Times New Roman" w:cs="Times New Roman"/>
          <w:lang w:eastAsia="et-EE"/>
        </w:rPr>
        <w:t xml:space="preserve">üldise ravivastuse </w:t>
      </w:r>
      <w:r w:rsidR="00CF2613">
        <w:rPr>
          <w:rFonts w:ascii="Times New Roman" w:eastAsia="Calibri" w:hAnsi="Times New Roman" w:cs="Times New Roman"/>
          <w:lang w:eastAsia="et-EE"/>
        </w:rPr>
        <w:t xml:space="preserve">kestuse </w:t>
      </w:r>
      <w:r w:rsidR="00F14B41">
        <w:rPr>
          <w:rFonts w:ascii="Times New Roman" w:eastAsia="Calibri" w:hAnsi="Times New Roman" w:cs="Times New Roman"/>
          <w:lang w:eastAsia="et-EE"/>
        </w:rPr>
        <w:t>mediaan ei olnud saavutatud. R</w:t>
      </w:r>
      <w:r w:rsidR="009C5C54" w:rsidRPr="009C5C54">
        <w:rPr>
          <w:rFonts w:ascii="Times New Roman" w:eastAsia="Calibri" w:hAnsi="Times New Roman" w:cs="Times New Roman"/>
          <w:lang w:eastAsia="et-EE"/>
        </w:rPr>
        <w:t>avi oli katkestanud 37 p</w:t>
      </w:r>
      <w:r w:rsidR="00CE52E6">
        <w:rPr>
          <w:rFonts w:ascii="Times New Roman" w:eastAsia="Calibri" w:hAnsi="Times New Roman" w:cs="Times New Roman"/>
          <w:lang w:eastAsia="et-EE"/>
        </w:rPr>
        <w:t>a</w:t>
      </w:r>
      <w:r w:rsidR="009C5C54" w:rsidRPr="009C5C54">
        <w:rPr>
          <w:rFonts w:ascii="Times New Roman" w:eastAsia="Calibri" w:hAnsi="Times New Roman" w:cs="Times New Roman"/>
          <w:lang w:eastAsia="et-EE"/>
        </w:rPr>
        <w:t>t</w:t>
      </w:r>
      <w:r w:rsidR="00CE52E6">
        <w:rPr>
          <w:rFonts w:ascii="Times New Roman" w:eastAsia="Calibri" w:hAnsi="Times New Roman" w:cs="Times New Roman"/>
          <w:lang w:eastAsia="et-EE"/>
        </w:rPr>
        <w:t>sienti</w:t>
      </w:r>
      <w:r w:rsidR="009C5C54" w:rsidRPr="009C5C54">
        <w:rPr>
          <w:rFonts w:ascii="Times New Roman" w:eastAsia="Calibri" w:hAnsi="Times New Roman" w:cs="Times New Roman"/>
          <w:lang w:eastAsia="et-EE"/>
        </w:rPr>
        <w:t>, neist 22 haiguse progressiooni tõttu, 9 kõrvaltoimete tõttu,</w:t>
      </w:r>
      <w:r w:rsidR="00CE52E6">
        <w:rPr>
          <w:rFonts w:ascii="Times New Roman" w:eastAsia="Calibri" w:hAnsi="Times New Roman" w:cs="Times New Roman"/>
          <w:lang w:eastAsia="et-EE"/>
        </w:rPr>
        <w:t xml:space="preserve"> </w:t>
      </w:r>
      <w:r w:rsidR="00CE52E6">
        <w:rPr>
          <w:rFonts w:ascii="Times New Roman" w:eastAsia="Calibri" w:hAnsi="Times New Roman" w:cs="Times New Roman"/>
          <w:lang w:eastAsia="et-EE"/>
        </w:rPr>
        <w:lastRenderedPageBreak/>
        <w:t>2 patsienti loobusid nõusolekust, üks patsient raviga mittesoostumise tõttu,</w:t>
      </w:r>
      <w:r w:rsidR="009C5C54" w:rsidRPr="009C5C54">
        <w:rPr>
          <w:rFonts w:ascii="Times New Roman" w:eastAsia="Calibri" w:hAnsi="Times New Roman" w:cs="Times New Roman"/>
          <w:lang w:eastAsia="et-EE"/>
        </w:rPr>
        <w:t xml:space="preserve"> 3 allogeense vereloome tüvirakkude siirdamise tõttu ning üks patsient oli surnud kõrvaltoime tõttu. </w:t>
      </w:r>
    </w:p>
    <w:p w14:paraId="645C06C0" w14:textId="5ABBDFCF" w:rsidR="00CE0B98" w:rsidRDefault="00CE0B98" w:rsidP="009C5C54">
      <w:pPr>
        <w:spacing w:before="120" w:after="120" w:line="269" w:lineRule="auto"/>
        <w:jc w:val="both"/>
        <w:rPr>
          <w:rFonts w:ascii="Times New Roman" w:eastAsia="Calibri" w:hAnsi="Times New Roman" w:cs="Times New Roman"/>
          <w:lang w:eastAsia="et-EE"/>
        </w:rPr>
      </w:pPr>
      <w:r>
        <w:rPr>
          <w:rFonts w:ascii="Times New Roman" w:eastAsia="Calibri" w:hAnsi="Times New Roman" w:cs="Times New Roman"/>
          <w:lang w:eastAsia="et-EE"/>
        </w:rPr>
        <w:t>Teisesed tulemusnäitajad olid täieliku ja osalise remissiooni saavutanud patsien</w:t>
      </w:r>
      <w:r w:rsidR="00CF2613">
        <w:rPr>
          <w:rFonts w:ascii="Times New Roman" w:eastAsia="Calibri" w:hAnsi="Times New Roman" w:cs="Times New Roman"/>
          <w:lang w:eastAsia="et-EE"/>
        </w:rPr>
        <w:t>tide hulk</w:t>
      </w:r>
      <w:r>
        <w:rPr>
          <w:rFonts w:ascii="Times New Roman" w:eastAsia="Calibri" w:hAnsi="Times New Roman" w:cs="Times New Roman"/>
          <w:lang w:eastAsia="et-EE"/>
        </w:rPr>
        <w:t xml:space="preserve">, aeg ravivastuseni, aeg lümfotsüütide absoluutse hulga </w:t>
      </w:r>
      <w:r w:rsidR="00CF2613">
        <w:rPr>
          <w:rFonts w:ascii="Times New Roman" w:eastAsia="Calibri" w:hAnsi="Times New Roman" w:cs="Times New Roman"/>
          <w:lang w:eastAsia="et-EE"/>
        </w:rPr>
        <w:t xml:space="preserve">50%-lise </w:t>
      </w:r>
      <w:r>
        <w:rPr>
          <w:rFonts w:ascii="Times New Roman" w:eastAsia="Calibri" w:hAnsi="Times New Roman" w:cs="Times New Roman"/>
          <w:lang w:eastAsia="et-EE"/>
        </w:rPr>
        <w:t xml:space="preserve">vähenemiseni, üldise ravivastuse kestus, progressioonivaba perioodi mediaan, elulemus, aeg progressioonini, allogeense vereloome tüvirakkude siirdamisega patsientide hulk ja </w:t>
      </w:r>
      <w:r w:rsidR="00CF2613">
        <w:rPr>
          <w:rFonts w:ascii="Times New Roman" w:eastAsia="Calibri" w:hAnsi="Times New Roman" w:cs="Times New Roman"/>
          <w:lang w:eastAsia="et-EE"/>
        </w:rPr>
        <w:t>kõrvaltoimed</w:t>
      </w:r>
      <w:r>
        <w:rPr>
          <w:rFonts w:ascii="Times New Roman" w:eastAsia="Calibri" w:hAnsi="Times New Roman" w:cs="Times New Roman"/>
          <w:lang w:eastAsia="et-EE"/>
        </w:rPr>
        <w:t>.</w:t>
      </w:r>
      <w:r w:rsidR="008D5212">
        <w:rPr>
          <w:rFonts w:ascii="Times New Roman" w:eastAsia="Calibri" w:hAnsi="Times New Roman" w:cs="Times New Roman"/>
          <w:lang w:eastAsia="et-EE"/>
        </w:rPr>
        <w:t xml:space="preserve"> Progressioonivaba perioodi mediaani ei olnud andmete kogumise lõppkuupäevaks veel saavutatud. </w:t>
      </w:r>
    </w:p>
    <w:p w14:paraId="397BD3A9" w14:textId="6E7518F1" w:rsidR="009C5C54" w:rsidRPr="009C5C54" w:rsidRDefault="00CE0B98" w:rsidP="009C5C54">
      <w:pPr>
        <w:spacing w:before="120" w:after="120" w:line="269" w:lineRule="auto"/>
        <w:jc w:val="both"/>
        <w:rPr>
          <w:rFonts w:ascii="Times New Roman" w:eastAsia="Calibri" w:hAnsi="Times New Roman" w:cs="Times New Roman"/>
          <w:lang w:eastAsia="et-EE"/>
        </w:rPr>
      </w:pPr>
      <w:r>
        <w:rPr>
          <w:rFonts w:ascii="Times New Roman" w:eastAsia="Calibri" w:hAnsi="Times New Roman" w:cs="Times New Roman"/>
          <w:lang w:eastAsia="et-EE"/>
        </w:rPr>
        <w:t>Jälgimisaja mediaani 12,1 kuud (10,1 kuni 14,2) juures saavutati ü</w:t>
      </w:r>
      <w:r w:rsidR="009C5C54" w:rsidRPr="009C5C54">
        <w:rPr>
          <w:rFonts w:ascii="Times New Roman" w:eastAsia="Calibri" w:hAnsi="Times New Roman" w:cs="Times New Roman"/>
          <w:lang w:eastAsia="et-EE"/>
        </w:rPr>
        <w:t>ldise ravivastuse määr hinnatuna sõltumatute hindajate poolt 79,4%</w:t>
      </w:r>
      <w:r w:rsidR="00C05CD5">
        <w:rPr>
          <w:rFonts w:ascii="Times New Roman" w:eastAsia="Calibri" w:hAnsi="Times New Roman" w:cs="Times New Roman"/>
          <w:lang w:eastAsia="et-EE"/>
        </w:rPr>
        <w:t>.</w:t>
      </w:r>
      <w:r w:rsidR="009C5C54" w:rsidRPr="009C5C54">
        <w:rPr>
          <w:rFonts w:ascii="Times New Roman" w:eastAsia="Calibri" w:hAnsi="Times New Roman" w:cs="Times New Roman"/>
          <w:lang w:eastAsia="et-EE"/>
        </w:rPr>
        <w:t xml:space="preserve"> </w:t>
      </w:r>
      <w:r w:rsidR="00C05CD5" w:rsidRPr="00D618ED">
        <w:rPr>
          <w:rFonts w:ascii="Times New Roman" w:eastAsia="Calibri" w:hAnsi="Times New Roman" w:cs="Times New Roman"/>
          <w:lang w:eastAsia="et-EE"/>
        </w:rPr>
        <w:t>H</w:t>
      </w:r>
      <w:r w:rsidR="009C5C54" w:rsidRPr="00D618ED">
        <w:rPr>
          <w:rFonts w:ascii="Times New Roman" w:eastAsia="Calibri" w:hAnsi="Times New Roman" w:cs="Times New Roman"/>
          <w:lang w:eastAsia="et-EE"/>
        </w:rPr>
        <w:t xml:space="preserve">innanguline 12-kuuline progressioonivaba perioodi mediaan </w:t>
      </w:r>
      <w:r w:rsidR="00C05CD5" w:rsidRPr="00D618ED">
        <w:rPr>
          <w:rFonts w:ascii="Times New Roman" w:eastAsia="Calibri" w:hAnsi="Times New Roman" w:cs="Times New Roman"/>
          <w:lang w:eastAsia="et-EE"/>
        </w:rPr>
        <w:t xml:space="preserve">oli </w:t>
      </w:r>
      <w:r w:rsidR="009C5C54" w:rsidRPr="00D618ED">
        <w:rPr>
          <w:rFonts w:ascii="Times New Roman" w:eastAsia="Calibri" w:hAnsi="Times New Roman" w:cs="Times New Roman"/>
          <w:lang w:eastAsia="et-EE"/>
        </w:rPr>
        <w:t>72,0%</w:t>
      </w:r>
      <w:r w:rsidRPr="00D618ED">
        <w:rPr>
          <w:rFonts w:ascii="Times New Roman" w:eastAsia="Calibri" w:hAnsi="Times New Roman" w:cs="Times New Roman"/>
          <w:lang w:eastAsia="et-EE"/>
        </w:rPr>
        <w:t xml:space="preserve"> (95% UV 61,8 kuni 79,8)</w:t>
      </w:r>
      <w:r w:rsidR="009C5C54" w:rsidRPr="00D618ED">
        <w:rPr>
          <w:rFonts w:ascii="Times New Roman" w:eastAsia="Calibri" w:hAnsi="Times New Roman" w:cs="Times New Roman"/>
          <w:lang w:eastAsia="et-EE"/>
        </w:rPr>
        <w:t xml:space="preserve"> ja hinnanguline 12</w:t>
      </w:r>
      <w:r w:rsidR="003B077F" w:rsidRPr="00D618ED">
        <w:rPr>
          <w:rFonts w:ascii="Times New Roman" w:eastAsia="Calibri" w:hAnsi="Times New Roman" w:cs="Times New Roman"/>
          <w:lang w:eastAsia="et-EE"/>
        </w:rPr>
        <w:t>-</w:t>
      </w:r>
      <w:r w:rsidR="009C5C54" w:rsidRPr="00D618ED">
        <w:rPr>
          <w:rFonts w:ascii="Times New Roman" w:eastAsia="Calibri" w:hAnsi="Times New Roman" w:cs="Times New Roman"/>
          <w:lang w:eastAsia="et-EE"/>
        </w:rPr>
        <w:t>kuuline elulemus 86,7%</w:t>
      </w:r>
      <w:r w:rsidRPr="00D618ED">
        <w:rPr>
          <w:rFonts w:ascii="Times New Roman" w:eastAsia="Calibri" w:hAnsi="Times New Roman" w:cs="Times New Roman"/>
          <w:lang w:eastAsia="et-EE"/>
        </w:rPr>
        <w:t xml:space="preserve"> (78,6 kuni 91,9)</w:t>
      </w:r>
      <w:r w:rsidR="009C5C54" w:rsidRPr="00D618ED">
        <w:rPr>
          <w:rFonts w:ascii="Times New Roman" w:eastAsia="Calibri" w:hAnsi="Times New Roman" w:cs="Times New Roman"/>
          <w:lang w:eastAsia="et-EE"/>
        </w:rPr>
        <w:t>.</w:t>
      </w:r>
      <w:r w:rsidR="009C5C54" w:rsidRPr="009C5C54">
        <w:rPr>
          <w:rFonts w:ascii="Times New Roman" w:eastAsia="Calibri" w:hAnsi="Times New Roman" w:cs="Times New Roman"/>
          <w:lang w:eastAsia="et-EE"/>
        </w:rPr>
        <w:t xml:space="preserve"> </w:t>
      </w:r>
      <w:r w:rsidR="008D5212">
        <w:rPr>
          <w:rFonts w:ascii="Times New Roman" w:eastAsia="Calibri" w:hAnsi="Times New Roman" w:cs="Times New Roman"/>
          <w:lang w:eastAsia="et-EE"/>
        </w:rPr>
        <w:t>(</w:t>
      </w:r>
      <w:r>
        <w:rPr>
          <w:rFonts w:ascii="Times New Roman" w:eastAsia="Calibri" w:hAnsi="Times New Roman" w:cs="Times New Roman"/>
          <w:lang w:eastAsia="et-EE"/>
        </w:rPr>
        <w:t>K</w:t>
      </w:r>
      <w:r w:rsidR="009C5C54" w:rsidRPr="009C5C54">
        <w:rPr>
          <w:rFonts w:ascii="Times New Roman" w:eastAsia="Calibri" w:hAnsi="Times New Roman" w:cs="Times New Roman"/>
          <w:lang w:eastAsia="et-EE"/>
        </w:rPr>
        <w:t>õige sagedasemad 3</w:t>
      </w:r>
      <w:r w:rsidR="00942D26">
        <w:rPr>
          <w:rFonts w:ascii="Times New Roman" w:eastAsia="Calibri" w:hAnsi="Times New Roman" w:cs="Times New Roman"/>
          <w:lang w:eastAsia="et-EE"/>
        </w:rPr>
        <w:t>.</w:t>
      </w:r>
      <w:r w:rsidR="009C5C54" w:rsidRPr="009C5C54">
        <w:rPr>
          <w:rFonts w:ascii="Times New Roman" w:eastAsia="Calibri" w:hAnsi="Times New Roman" w:cs="Times New Roman"/>
          <w:lang w:eastAsia="et-EE"/>
        </w:rPr>
        <w:t xml:space="preserve"> ja 4</w:t>
      </w:r>
      <w:r w:rsidR="00942D26">
        <w:rPr>
          <w:rFonts w:ascii="Times New Roman" w:eastAsia="Calibri" w:hAnsi="Times New Roman" w:cs="Times New Roman"/>
          <w:lang w:eastAsia="et-EE"/>
        </w:rPr>
        <w:t>.</w:t>
      </w:r>
      <w:r w:rsidR="009C5C54" w:rsidRPr="009C5C54">
        <w:rPr>
          <w:rFonts w:ascii="Times New Roman" w:eastAsia="Calibri" w:hAnsi="Times New Roman" w:cs="Times New Roman"/>
          <w:lang w:eastAsia="et-EE"/>
        </w:rPr>
        <w:t xml:space="preserve"> astme kõrvaltoimed olid neutropeenia</w:t>
      </w:r>
      <w:r w:rsidR="00C05CD5">
        <w:rPr>
          <w:rFonts w:ascii="Times New Roman" w:eastAsia="Calibri" w:hAnsi="Times New Roman" w:cs="Times New Roman"/>
          <w:lang w:eastAsia="et-EE"/>
        </w:rPr>
        <w:t xml:space="preserve"> (40%)</w:t>
      </w:r>
      <w:r w:rsidR="009C5C54" w:rsidRPr="009C5C54">
        <w:rPr>
          <w:rFonts w:ascii="Times New Roman" w:eastAsia="Calibri" w:hAnsi="Times New Roman" w:cs="Times New Roman"/>
          <w:lang w:eastAsia="et-EE"/>
        </w:rPr>
        <w:t>, infektsioon</w:t>
      </w:r>
      <w:r w:rsidR="00C05CD5">
        <w:rPr>
          <w:rFonts w:ascii="Times New Roman" w:eastAsia="Calibri" w:hAnsi="Times New Roman" w:cs="Times New Roman"/>
          <w:lang w:eastAsia="et-EE"/>
        </w:rPr>
        <w:t xml:space="preserve"> (20%)</w:t>
      </w:r>
      <w:r w:rsidR="009C5C54" w:rsidRPr="009C5C54">
        <w:rPr>
          <w:rFonts w:ascii="Times New Roman" w:eastAsia="Calibri" w:hAnsi="Times New Roman" w:cs="Times New Roman"/>
          <w:lang w:eastAsia="et-EE"/>
        </w:rPr>
        <w:t>, aneemia</w:t>
      </w:r>
      <w:r w:rsidR="00C05CD5">
        <w:rPr>
          <w:rFonts w:ascii="Times New Roman" w:eastAsia="Calibri" w:hAnsi="Times New Roman" w:cs="Times New Roman"/>
          <w:lang w:eastAsia="et-EE"/>
        </w:rPr>
        <w:t xml:space="preserve"> (18%)</w:t>
      </w:r>
      <w:r w:rsidR="009C5C54" w:rsidRPr="009C5C54">
        <w:rPr>
          <w:rFonts w:ascii="Times New Roman" w:eastAsia="Calibri" w:hAnsi="Times New Roman" w:cs="Times New Roman"/>
          <w:lang w:eastAsia="et-EE"/>
        </w:rPr>
        <w:t xml:space="preserve"> </w:t>
      </w:r>
      <w:r>
        <w:rPr>
          <w:rFonts w:ascii="Times New Roman" w:eastAsia="Calibri" w:hAnsi="Times New Roman" w:cs="Times New Roman"/>
          <w:lang w:eastAsia="et-EE"/>
        </w:rPr>
        <w:t>j</w:t>
      </w:r>
      <w:r w:rsidR="009C5C54" w:rsidRPr="009C5C54">
        <w:rPr>
          <w:rFonts w:ascii="Times New Roman" w:eastAsia="Calibri" w:hAnsi="Times New Roman" w:cs="Times New Roman"/>
          <w:lang w:eastAsia="et-EE"/>
        </w:rPr>
        <w:t>a trombotsütopeenia</w:t>
      </w:r>
      <w:r w:rsidR="00C05CD5">
        <w:rPr>
          <w:rFonts w:ascii="Times New Roman" w:eastAsia="Calibri" w:hAnsi="Times New Roman" w:cs="Times New Roman"/>
          <w:lang w:eastAsia="et-EE"/>
        </w:rPr>
        <w:t xml:space="preserve"> (15%)</w:t>
      </w:r>
      <w:r w:rsidR="009C5C54" w:rsidRPr="009C5C54">
        <w:rPr>
          <w:rFonts w:ascii="Times New Roman" w:eastAsia="Calibri" w:hAnsi="Times New Roman" w:cs="Times New Roman"/>
          <w:lang w:eastAsia="et-EE"/>
        </w:rPr>
        <w:t>. Tõsiseid kõrvaltoimeid esines 55%</w:t>
      </w:r>
      <w:r w:rsidR="00C05CD5">
        <w:rPr>
          <w:rFonts w:ascii="Times New Roman" w:eastAsia="Calibri" w:hAnsi="Times New Roman" w:cs="Times New Roman"/>
          <w:lang w:eastAsia="et-EE"/>
        </w:rPr>
        <w:t>-l</w:t>
      </w:r>
      <w:r w:rsidR="009C5C54" w:rsidRPr="009C5C54">
        <w:rPr>
          <w:rFonts w:ascii="Times New Roman" w:eastAsia="Calibri" w:hAnsi="Times New Roman" w:cs="Times New Roman"/>
          <w:lang w:eastAsia="et-EE"/>
        </w:rPr>
        <w:t xml:space="preserve"> patsientidest, sagedasemad olid palavik</w:t>
      </w:r>
      <w:r w:rsidR="00C05CD5">
        <w:rPr>
          <w:rFonts w:ascii="Times New Roman" w:eastAsia="Calibri" w:hAnsi="Times New Roman" w:cs="Times New Roman"/>
          <w:lang w:eastAsia="et-EE"/>
        </w:rPr>
        <w:t xml:space="preserve"> (7%)</w:t>
      </w:r>
      <w:r w:rsidR="009C5C54" w:rsidRPr="009C5C54">
        <w:rPr>
          <w:rFonts w:ascii="Times New Roman" w:eastAsia="Calibri" w:hAnsi="Times New Roman" w:cs="Times New Roman"/>
          <w:lang w:eastAsia="et-EE"/>
        </w:rPr>
        <w:t>, hemolüütiline aneemia</w:t>
      </w:r>
      <w:r w:rsidR="00C05CD5">
        <w:rPr>
          <w:rFonts w:ascii="Times New Roman" w:eastAsia="Calibri" w:hAnsi="Times New Roman" w:cs="Times New Roman"/>
          <w:lang w:eastAsia="et-EE"/>
        </w:rPr>
        <w:t xml:space="preserve"> (7%)</w:t>
      </w:r>
      <w:r w:rsidR="009C5C54" w:rsidRPr="009C5C54">
        <w:rPr>
          <w:rFonts w:ascii="Times New Roman" w:eastAsia="Calibri" w:hAnsi="Times New Roman" w:cs="Times New Roman"/>
          <w:lang w:eastAsia="et-EE"/>
        </w:rPr>
        <w:t>, pneumoonia</w:t>
      </w:r>
      <w:r w:rsidR="00C05CD5">
        <w:rPr>
          <w:rFonts w:ascii="Times New Roman" w:eastAsia="Calibri" w:hAnsi="Times New Roman" w:cs="Times New Roman"/>
          <w:lang w:eastAsia="et-EE"/>
        </w:rPr>
        <w:t xml:space="preserve"> (6%)</w:t>
      </w:r>
      <w:r w:rsidR="009C5C54" w:rsidRPr="009C5C54">
        <w:rPr>
          <w:rFonts w:ascii="Times New Roman" w:eastAsia="Calibri" w:hAnsi="Times New Roman" w:cs="Times New Roman"/>
          <w:lang w:eastAsia="et-EE"/>
        </w:rPr>
        <w:t xml:space="preserve"> ning febriilne neutropeenia</w:t>
      </w:r>
      <w:r w:rsidR="00C05CD5">
        <w:rPr>
          <w:rFonts w:ascii="Times New Roman" w:eastAsia="Calibri" w:hAnsi="Times New Roman" w:cs="Times New Roman"/>
          <w:lang w:eastAsia="et-EE"/>
        </w:rPr>
        <w:t xml:space="preserve"> (5%)</w:t>
      </w:r>
      <w:r w:rsidR="009C5C54" w:rsidRPr="009C5C54">
        <w:rPr>
          <w:rFonts w:ascii="Times New Roman" w:eastAsia="Calibri" w:hAnsi="Times New Roman" w:cs="Times New Roman"/>
          <w:lang w:eastAsia="et-EE"/>
        </w:rPr>
        <w:t>. 11 patsienti surid 30 päeva jooksul pärast viimast ravimi annust, seitse suri haiguse progressiooni tõttu</w:t>
      </w:r>
      <w:r w:rsidR="00C05CD5">
        <w:rPr>
          <w:rFonts w:ascii="Times New Roman" w:eastAsia="Calibri" w:hAnsi="Times New Roman" w:cs="Times New Roman"/>
          <w:lang w:eastAsia="et-EE"/>
        </w:rPr>
        <w:t>,</w:t>
      </w:r>
      <w:r w:rsidR="009C5C54" w:rsidRPr="009C5C54">
        <w:rPr>
          <w:rFonts w:ascii="Times New Roman" w:eastAsia="Calibri" w:hAnsi="Times New Roman" w:cs="Times New Roman"/>
          <w:lang w:eastAsia="et-EE"/>
        </w:rPr>
        <w:t xml:space="preserve"> 4 kõrvaltoimete tõttu</w:t>
      </w:r>
      <w:r w:rsidR="00C05CD5">
        <w:rPr>
          <w:rFonts w:ascii="Times New Roman" w:eastAsia="Calibri" w:hAnsi="Times New Roman" w:cs="Times New Roman"/>
          <w:lang w:eastAsia="et-EE"/>
        </w:rPr>
        <w:t xml:space="preserve"> (insult, maksapuudulikkus, septiline </w:t>
      </w:r>
      <w:r w:rsidR="00942D26">
        <w:rPr>
          <w:rFonts w:ascii="Times New Roman" w:eastAsia="Calibri" w:hAnsi="Times New Roman" w:cs="Times New Roman"/>
          <w:lang w:eastAsia="et-EE"/>
        </w:rPr>
        <w:t>š</w:t>
      </w:r>
      <w:r w:rsidR="00C05CD5">
        <w:rPr>
          <w:rFonts w:ascii="Times New Roman" w:eastAsia="Calibri" w:hAnsi="Times New Roman" w:cs="Times New Roman"/>
          <w:lang w:eastAsia="et-EE"/>
        </w:rPr>
        <w:t>okk, kardiorespiratoorne puudulikkus). Ü</w:t>
      </w:r>
      <w:r w:rsidR="009C5C54" w:rsidRPr="009C5C54">
        <w:rPr>
          <w:rFonts w:ascii="Times New Roman" w:eastAsia="Calibri" w:hAnsi="Times New Roman" w:cs="Times New Roman"/>
          <w:lang w:eastAsia="et-EE"/>
        </w:rPr>
        <w:t>htegi surmaga lõppenud kõrvaltoimet ei peetud ravimist tingituks</w:t>
      </w:r>
      <w:r w:rsidR="00C05CD5">
        <w:rPr>
          <w:rFonts w:ascii="Times New Roman" w:eastAsia="Calibri" w:hAnsi="Times New Roman" w:cs="Times New Roman"/>
          <w:lang w:eastAsia="et-EE"/>
        </w:rPr>
        <w:t xml:space="preserve">. </w:t>
      </w:r>
      <w:r w:rsidR="009C5C54" w:rsidRPr="009C5C54">
        <w:rPr>
          <w:rFonts w:ascii="Times New Roman" w:eastAsia="Calibri" w:hAnsi="Times New Roman" w:cs="Times New Roman"/>
          <w:lang w:eastAsia="et-EE"/>
        </w:rPr>
        <w:t xml:space="preserve"> </w:t>
      </w:r>
    </w:p>
    <w:p w14:paraId="5E73C10D" w14:textId="77777777" w:rsidR="00C05CD5" w:rsidRDefault="00C05CD5" w:rsidP="008F10FE">
      <w:pPr>
        <w:spacing w:before="120" w:after="120" w:line="269" w:lineRule="auto"/>
        <w:jc w:val="both"/>
        <w:rPr>
          <w:rFonts w:ascii="Times New Roman" w:eastAsia="Calibri" w:hAnsi="Times New Roman" w:cs="Times New Roman"/>
          <w:lang w:eastAsia="et-EE"/>
        </w:rPr>
      </w:pPr>
      <w:r w:rsidRPr="00EA1514">
        <w:rPr>
          <w:rFonts w:ascii="Times New Roman" w:eastAsia="Calibri" w:hAnsi="Times New Roman" w:cs="Times New Roman"/>
          <w:lang w:eastAsia="et-EE"/>
        </w:rPr>
        <w:t xml:space="preserve">Multitsentrilises </w:t>
      </w:r>
      <w:r w:rsidR="009C5C54" w:rsidRPr="00EA1514">
        <w:rPr>
          <w:rFonts w:ascii="Times New Roman" w:eastAsia="Calibri" w:hAnsi="Times New Roman" w:cs="Times New Roman"/>
          <w:lang w:eastAsia="et-EE"/>
        </w:rPr>
        <w:t>II</w:t>
      </w:r>
      <w:r w:rsidRPr="00EA1514">
        <w:rPr>
          <w:rFonts w:ascii="Times New Roman" w:eastAsia="Calibri" w:hAnsi="Times New Roman" w:cs="Times New Roman"/>
          <w:lang w:eastAsia="et-EE"/>
        </w:rPr>
        <w:t xml:space="preserve"> faasi</w:t>
      </w:r>
      <w:r w:rsidR="009C5C54" w:rsidRPr="00EA1514">
        <w:rPr>
          <w:rFonts w:ascii="Times New Roman" w:eastAsia="Calibri" w:hAnsi="Times New Roman" w:cs="Times New Roman"/>
          <w:lang w:eastAsia="et-EE"/>
        </w:rPr>
        <w:t xml:space="preserve"> uuringus</w:t>
      </w:r>
      <w:r w:rsidRPr="00EA1514">
        <w:rPr>
          <w:rFonts w:ascii="Times New Roman" w:eastAsia="Calibri" w:hAnsi="Times New Roman" w:cs="Times New Roman"/>
          <w:lang w:eastAsia="et-EE"/>
        </w:rPr>
        <w:t xml:space="preserve"> (Jones </w:t>
      </w:r>
      <w:r w:rsidRPr="00EA1514">
        <w:rPr>
          <w:rFonts w:ascii="Times New Roman" w:eastAsia="Calibri" w:hAnsi="Times New Roman" w:cs="Times New Roman"/>
          <w:i/>
          <w:lang w:eastAsia="et-EE"/>
        </w:rPr>
        <w:t>et al</w:t>
      </w:r>
      <w:r w:rsidRPr="00EA1514">
        <w:rPr>
          <w:rFonts w:ascii="Times New Roman" w:eastAsia="Calibri" w:hAnsi="Times New Roman" w:cs="Times New Roman"/>
          <w:lang w:eastAsia="et-EE"/>
        </w:rPr>
        <w:t>, 2016)</w:t>
      </w:r>
      <w:r w:rsidR="009C5C54" w:rsidRPr="009C5C54">
        <w:rPr>
          <w:rFonts w:ascii="Times New Roman" w:eastAsia="Calibri" w:hAnsi="Times New Roman" w:cs="Times New Roman"/>
          <w:lang w:eastAsia="et-EE"/>
        </w:rPr>
        <w:t xml:space="preserve"> hinnati venetoklaksi efektiivsust kroonilise lümfoidse leukeemiaga patsientidel, kelle haigus retsidiveerus pärast ravi ibrutiniibi</w:t>
      </w:r>
      <w:r>
        <w:rPr>
          <w:rFonts w:ascii="Times New Roman" w:eastAsia="Calibri" w:hAnsi="Times New Roman" w:cs="Times New Roman"/>
          <w:lang w:eastAsia="et-EE"/>
        </w:rPr>
        <w:t xml:space="preserve"> (n=41)</w:t>
      </w:r>
      <w:r w:rsidR="009C5C54" w:rsidRPr="009C5C54">
        <w:rPr>
          <w:rFonts w:ascii="Times New Roman" w:eastAsia="Calibri" w:hAnsi="Times New Roman" w:cs="Times New Roman"/>
          <w:lang w:eastAsia="et-EE"/>
        </w:rPr>
        <w:t xml:space="preserve"> või idealisiibiga</w:t>
      </w:r>
      <w:r>
        <w:rPr>
          <w:rFonts w:ascii="Times New Roman" w:eastAsia="Calibri" w:hAnsi="Times New Roman" w:cs="Times New Roman"/>
          <w:lang w:eastAsia="et-EE"/>
        </w:rPr>
        <w:t xml:space="preserve"> (n=13)</w:t>
      </w:r>
      <w:r w:rsidR="009C5C54" w:rsidRPr="009C5C54">
        <w:rPr>
          <w:rFonts w:ascii="Times New Roman" w:eastAsia="Calibri" w:hAnsi="Times New Roman" w:cs="Times New Roman"/>
          <w:lang w:eastAsia="et-EE"/>
        </w:rPr>
        <w:t xml:space="preserve"> või </w:t>
      </w:r>
      <w:r w:rsidR="00942D26">
        <w:rPr>
          <w:rFonts w:ascii="Times New Roman" w:eastAsia="Calibri" w:hAnsi="Times New Roman" w:cs="Times New Roman"/>
          <w:lang w:eastAsia="et-EE"/>
        </w:rPr>
        <w:t xml:space="preserve">kes </w:t>
      </w:r>
      <w:r w:rsidR="009C5C54" w:rsidRPr="009C5C54">
        <w:rPr>
          <w:rFonts w:ascii="Times New Roman" w:eastAsia="Calibri" w:hAnsi="Times New Roman" w:cs="Times New Roman"/>
          <w:lang w:eastAsia="et-EE"/>
        </w:rPr>
        <w:t xml:space="preserve">olid refraktaarsed ravile, grupiti vastavalt 25 ja 6 patsienti. </w:t>
      </w:r>
    </w:p>
    <w:p w14:paraId="19C1F494" w14:textId="77777777" w:rsidR="004236B1" w:rsidRPr="004236B1" w:rsidRDefault="009C5C54" w:rsidP="008F10FE">
      <w:pPr>
        <w:spacing w:before="120" w:after="120" w:line="269" w:lineRule="auto"/>
        <w:jc w:val="both"/>
        <w:rPr>
          <w:rFonts w:ascii="Times New Roman" w:eastAsia="Calibri" w:hAnsi="Times New Roman" w:cs="Times New Roman"/>
          <w:lang w:eastAsia="et-EE"/>
        </w:rPr>
      </w:pPr>
      <w:r w:rsidRPr="009C5C54">
        <w:rPr>
          <w:rFonts w:ascii="Times New Roman" w:eastAsia="Calibri" w:hAnsi="Times New Roman" w:cs="Times New Roman"/>
          <w:lang w:eastAsia="et-EE"/>
        </w:rPr>
        <w:t xml:space="preserve">Esmane </w:t>
      </w:r>
      <w:r w:rsidR="00956151">
        <w:rPr>
          <w:rFonts w:ascii="Times New Roman" w:eastAsia="Calibri" w:hAnsi="Times New Roman" w:cs="Times New Roman"/>
          <w:lang w:eastAsia="et-EE"/>
        </w:rPr>
        <w:t xml:space="preserve">tulemusnäitaja, üldise </w:t>
      </w:r>
      <w:r w:rsidRPr="009C5C54">
        <w:rPr>
          <w:rFonts w:ascii="Times New Roman" w:eastAsia="Calibri" w:hAnsi="Times New Roman" w:cs="Times New Roman"/>
          <w:lang w:eastAsia="et-EE"/>
        </w:rPr>
        <w:t>ravivastuse määr</w:t>
      </w:r>
      <w:r w:rsidR="00956151">
        <w:rPr>
          <w:rFonts w:ascii="Times New Roman" w:eastAsia="Calibri" w:hAnsi="Times New Roman" w:cs="Times New Roman"/>
          <w:lang w:eastAsia="et-EE"/>
        </w:rPr>
        <w:t>,</w:t>
      </w:r>
      <w:r w:rsidRPr="009C5C54">
        <w:rPr>
          <w:rFonts w:ascii="Times New Roman" w:eastAsia="Calibri" w:hAnsi="Times New Roman" w:cs="Times New Roman"/>
          <w:lang w:eastAsia="et-EE"/>
        </w:rPr>
        <w:t xml:space="preserve"> hinnatuna sõltumatute hindajate poolt oli post-ibrutiniib</w:t>
      </w:r>
      <w:r w:rsidR="00A337C4">
        <w:rPr>
          <w:rFonts w:ascii="Times New Roman" w:eastAsia="Calibri" w:hAnsi="Times New Roman" w:cs="Times New Roman"/>
          <w:lang w:eastAsia="et-EE"/>
        </w:rPr>
        <w:t>i</w:t>
      </w:r>
      <w:r w:rsidRPr="009C5C54">
        <w:rPr>
          <w:rFonts w:ascii="Times New Roman" w:eastAsia="Calibri" w:hAnsi="Times New Roman" w:cs="Times New Roman"/>
          <w:lang w:eastAsia="et-EE"/>
        </w:rPr>
        <w:t xml:space="preserve"> grupis 70%, </w:t>
      </w:r>
      <w:r w:rsidR="00F348DB">
        <w:rPr>
          <w:rFonts w:ascii="Times New Roman" w:eastAsia="Calibri" w:hAnsi="Times New Roman" w:cs="Times New Roman"/>
          <w:lang w:eastAsia="et-EE"/>
        </w:rPr>
        <w:t xml:space="preserve">andmete analüüsi ajaks ei olnud </w:t>
      </w:r>
      <w:r w:rsidR="00956151">
        <w:rPr>
          <w:rFonts w:ascii="Times New Roman" w:eastAsia="Calibri" w:hAnsi="Times New Roman" w:cs="Times New Roman"/>
          <w:lang w:eastAsia="et-EE"/>
        </w:rPr>
        <w:t xml:space="preserve">progressioonivaba perioodi mediaani ega elulemuse </w:t>
      </w:r>
      <w:r w:rsidR="00F348DB">
        <w:rPr>
          <w:rFonts w:ascii="Times New Roman" w:eastAsia="Calibri" w:hAnsi="Times New Roman" w:cs="Times New Roman"/>
          <w:lang w:eastAsia="et-EE"/>
        </w:rPr>
        <w:t xml:space="preserve">mediaani </w:t>
      </w:r>
      <w:r w:rsidRPr="009C5C54">
        <w:rPr>
          <w:rFonts w:ascii="Times New Roman" w:eastAsia="Calibri" w:hAnsi="Times New Roman" w:cs="Times New Roman"/>
          <w:lang w:eastAsia="et-EE"/>
        </w:rPr>
        <w:t xml:space="preserve">veel saavutatud. </w:t>
      </w:r>
      <w:r w:rsidR="000306FA">
        <w:rPr>
          <w:rFonts w:ascii="Times New Roman" w:eastAsia="Calibri" w:hAnsi="Times New Roman" w:cs="Times New Roman"/>
          <w:lang w:eastAsia="et-EE"/>
        </w:rPr>
        <w:t>Kõige sagedasemad k</w:t>
      </w:r>
      <w:r w:rsidRPr="009C5C54">
        <w:rPr>
          <w:rFonts w:ascii="Times New Roman" w:eastAsia="Calibri" w:hAnsi="Times New Roman" w:cs="Times New Roman"/>
          <w:lang w:eastAsia="et-EE"/>
        </w:rPr>
        <w:t>õrvaltoime</w:t>
      </w:r>
      <w:r w:rsidR="000306FA">
        <w:rPr>
          <w:rFonts w:ascii="Times New Roman" w:eastAsia="Calibri" w:hAnsi="Times New Roman" w:cs="Times New Roman"/>
          <w:lang w:eastAsia="et-EE"/>
        </w:rPr>
        <w:t>d olid neutropeenia (48%), diarröa (37%), iiveldus (35%), aneemia (32%), väsimus (24%) ja hüperfosfateemia (20%). Eel</w:t>
      </w:r>
      <w:r w:rsidRPr="009C5C54">
        <w:rPr>
          <w:rFonts w:ascii="Times New Roman" w:eastAsia="Calibri" w:hAnsi="Times New Roman" w:cs="Times New Roman"/>
          <w:lang w:eastAsia="et-EE"/>
        </w:rPr>
        <w:t>nevalt ibrutiniibi saanute grupis katkestas ravi 8 patsienti, põhjusteks hingamispuudulikkus, hulgiorganpuudulikkus, surm teadmata põhjustel</w:t>
      </w:r>
      <w:r w:rsidR="000306FA">
        <w:rPr>
          <w:rFonts w:ascii="Times New Roman" w:eastAsia="Calibri" w:hAnsi="Times New Roman" w:cs="Times New Roman"/>
          <w:lang w:eastAsia="et-EE"/>
        </w:rPr>
        <w:t xml:space="preserve"> ning nõusolekust loobumine. </w:t>
      </w:r>
    </w:p>
    <w:p w14:paraId="40D097F9" w14:textId="77777777" w:rsidR="00840BEF" w:rsidRPr="005421B4" w:rsidRDefault="00840BEF" w:rsidP="008F10FE">
      <w:pPr>
        <w:spacing w:before="120" w:after="120" w:line="269" w:lineRule="auto"/>
        <w:jc w:val="both"/>
        <w:rPr>
          <w:rFonts w:ascii="Times New Roman" w:eastAsia="Calibri" w:hAnsi="Times New Roman" w:cs="Times New Roman"/>
          <w:b/>
          <w:lang w:eastAsia="et-EE"/>
        </w:rPr>
      </w:pPr>
      <w:r w:rsidRPr="005421B4">
        <w:rPr>
          <w:rFonts w:ascii="Times New Roman" w:eastAsia="Calibri" w:hAnsi="Times New Roman" w:cs="Times New Roman"/>
          <w:b/>
          <w:lang w:eastAsia="et-EE"/>
        </w:rPr>
        <w:t>Ravimi kasutamise majanduslik põhjendatus:</w:t>
      </w:r>
    </w:p>
    <w:p w14:paraId="1D630CDE" w14:textId="6A6F577B" w:rsidR="008A6CA9" w:rsidRDefault="004236B1" w:rsidP="008F10FE">
      <w:pPr>
        <w:spacing w:before="120" w:after="120" w:line="269" w:lineRule="auto"/>
        <w:jc w:val="both"/>
        <w:rPr>
          <w:rFonts w:ascii="Times New Roman" w:eastAsiaTheme="minorEastAsia" w:hAnsi="Times New Roman" w:cs="Times New Roman"/>
          <w:bCs/>
          <w:lang w:eastAsia="et-EE"/>
        </w:rPr>
      </w:pPr>
      <w:r>
        <w:rPr>
          <w:rFonts w:ascii="Times New Roman" w:eastAsiaTheme="minorEastAsia" w:hAnsi="Times New Roman" w:cs="Times New Roman"/>
          <w:bCs/>
          <w:lang w:eastAsia="et-EE"/>
        </w:rPr>
        <w:t>T</w:t>
      </w:r>
      <w:r w:rsidR="008A6CA9" w:rsidRPr="008A6CA9">
        <w:rPr>
          <w:rFonts w:ascii="Times New Roman" w:eastAsiaTheme="minorEastAsia" w:hAnsi="Times New Roman" w:cs="Times New Roman"/>
          <w:bCs/>
          <w:lang w:eastAsia="et-EE"/>
        </w:rPr>
        <w:t xml:space="preserve">aotleja on esitanud Eesti tingimustele kohandatud kulutõhususe ja kulukasulikkuse analüüsi, näidates venetoklaksi täiendkulu tõhususe määra del(17p) mutatsiooniga retsidiveerunud ja refraktaarse kroonilise lümfoidse leukeemiaga patsientide ravis võrrelduna parima toetava raviga (50% patsientidest saavad rituksimabi ja 50% patsientidest rituksimab + kõrgdoosis metüülprednisoloon). Tootja hinnangul lisandub venetoklaks raviga </w:t>
      </w:r>
      <w:r w:rsidR="008B7167" w:rsidRPr="008B7167">
        <w:rPr>
          <w:rFonts w:ascii="Times New Roman" w:eastAsiaTheme="minorEastAsia" w:hAnsi="Times New Roman" w:cs="Times New Roman"/>
          <w:bCs/>
          <w:highlight w:val="lightGray"/>
          <w:lang w:eastAsia="et-EE"/>
        </w:rPr>
        <w:t>…</w:t>
      </w:r>
      <w:r w:rsidR="008A6CA9" w:rsidRPr="008A6CA9">
        <w:rPr>
          <w:rFonts w:ascii="Times New Roman" w:eastAsiaTheme="minorEastAsia" w:hAnsi="Times New Roman" w:cs="Times New Roman"/>
          <w:bCs/>
          <w:lang w:eastAsia="et-EE"/>
        </w:rPr>
        <w:t xml:space="preserve">kvaliteetselt elatud aastat ja </w:t>
      </w:r>
      <w:r w:rsidR="003B077F">
        <w:rPr>
          <w:rFonts w:ascii="Times New Roman" w:eastAsiaTheme="minorEastAsia" w:hAnsi="Times New Roman" w:cs="Times New Roman"/>
          <w:bCs/>
          <w:lang w:eastAsia="et-EE"/>
        </w:rPr>
        <w:t>sellest tulenevalt on lei</w:t>
      </w:r>
      <w:r w:rsidR="00B9773D">
        <w:rPr>
          <w:rFonts w:ascii="Times New Roman" w:eastAsiaTheme="minorEastAsia" w:hAnsi="Times New Roman" w:cs="Times New Roman"/>
          <w:bCs/>
          <w:lang w:eastAsia="et-EE"/>
        </w:rPr>
        <w:t>t</w:t>
      </w:r>
      <w:r w:rsidR="003B077F">
        <w:rPr>
          <w:rFonts w:ascii="Times New Roman" w:eastAsiaTheme="minorEastAsia" w:hAnsi="Times New Roman" w:cs="Times New Roman"/>
          <w:bCs/>
          <w:lang w:eastAsia="et-EE"/>
        </w:rPr>
        <w:t>u</w:t>
      </w:r>
      <w:r w:rsidR="00B9773D">
        <w:rPr>
          <w:rFonts w:ascii="Times New Roman" w:eastAsiaTheme="minorEastAsia" w:hAnsi="Times New Roman" w:cs="Times New Roman"/>
          <w:bCs/>
          <w:lang w:eastAsia="et-EE"/>
        </w:rPr>
        <w:t>d</w:t>
      </w:r>
      <w:r w:rsidR="003B077F">
        <w:rPr>
          <w:rFonts w:ascii="Times New Roman" w:eastAsiaTheme="minorEastAsia" w:hAnsi="Times New Roman" w:cs="Times New Roman"/>
          <w:bCs/>
          <w:lang w:eastAsia="et-EE"/>
        </w:rPr>
        <w:t xml:space="preserve">, et ICER/QALY on </w:t>
      </w:r>
      <w:r w:rsidR="008B7167" w:rsidRPr="008B7167">
        <w:rPr>
          <w:rFonts w:ascii="Times New Roman" w:eastAsiaTheme="minorEastAsia" w:hAnsi="Times New Roman" w:cs="Times New Roman"/>
          <w:bCs/>
          <w:highlight w:val="lightGray"/>
          <w:lang w:eastAsia="et-EE"/>
        </w:rPr>
        <w:t>…</w:t>
      </w:r>
      <w:r w:rsidR="008A6CA9" w:rsidRPr="008A6CA9">
        <w:rPr>
          <w:rFonts w:ascii="Times New Roman" w:eastAsiaTheme="minorEastAsia" w:hAnsi="Times New Roman" w:cs="Times New Roman"/>
          <w:bCs/>
          <w:lang w:eastAsia="et-EE"/>
        </w:rPr>
        <w:t>eurot.</w:t>
      </w:r>
    </w:p>
    <w:p w14:paraId="7BF15937" w14:textId="77777777" w:rsidR="00840BEF" w:rsidRPr="00370DCD" w:rsidRDefault="00840BEF" w:rsidP="008F10FE">
      <w:pPr>
        <w:spacing w:before="120" w:after="120" w:line="269" w:lineRule="auto"/>
        <w:jc w:val="both"/>
        <w:rPr>
          <w:rFonts w:ascii="Times New Roman" w:eastAsia="Calibri" w:hAnsi="Times New Roman" w:cs="Times New Roman"/>
          <w:b/>
          <w:lang w:eastAsia="et-EE"/>
        </w:rPr>
      </w:pPr>
      <w:r w:rsidRPr="00370DCD">
        <w:rPr>
          <w:rFonts w:ascii="Times New Roman" w:eastAsia="Calibri" w:hAnsi="Times New Roman" w:cs="Times New Roman"/>
          <w:b/>
          <w:lang w:eastAsia="et-EE"/>
        </w:rPr>
        <w:t>Mõju ravikindlustuse eelarvele:</w:t>
      </w:r>
    </w:p>
    <w:p w14:paraId="74F89880" w14:textId="7EA8D23A" w:rsidR="00E31DC2" w:rsidRPr="00E31DC2" w:rsidRDefault="00A80D32" w:rsidP="008F10FE">
      <w:pPr>
        <w:spacing w:before="120" w:after="120" w:line="269" w:lineRule="auto"/>
        <w:jc w:val="both"/>
        <w:rPr>
          <w:rFonts w:ascii="Times New Roman" w:eastAsiaTheme="minorEastAsia" w:hAnsi="Times New Roman" w:cs="Times New Roman"/>
          <w:lang w:eastAsia="et-EE"/>
        </w:rPr>
      </w:pPr>
      <w:r>
        <w:rPr>
          <w:rFonts w:ascii="Times New Roman" w:eastAsiaTheme="minorEastAsia" w:hAnsi="Times New Roman" w:cs="Times New Roman"/>
          <w:lang w:eastAsia="et-EE"/>
        </w:rPr>
        <w:t>Taotleja hindab</w:t>
      </w:r>
      <w:r w:rsidR="00964F04" w:rsidRPr="00964F04">
        <w:rPr>
          <w:rFonts w:ascii="Times New Roman" w:eastAsiaTheme="minorEastAsia" w:hAnsi="Times New Roman" w:cs="Times New Roman"/>
          <w:lang w:eastAsia="et-EE"/>
        </w:rPr>
        <w:t xml:space="preserve"> haigekassa kuludeks kolmel esimesel aastal vastavalt </w:t>
      </w:r>
      <w:r w:rsidR="00E31DC2" w:rsidRPr="00E31DC2">
        <w:rPr>
          <w:rFonts w:ascii="Times New Roman" w:eastAsiaTheme="minorEastAsia" w:hAnsi="Times New Roman" w:cs="Times New Roman"/>
          <w:lang w:eastAsia="et-EE"/>
        </w:rPr>
        <w:t>prognoositud p</w:t>
      </w:r>
      <w:r w:rsidR="00E31DC2">
        <w:rPr>
          <w:rFonts w:ascii="Times New Roman" w:eastAsiaTheme="minorEastAsia" w:hAnsi="Times New Roman" w:cs="Times New Roman"/>
          <w:lang w:eastAsia="et-EE"/>
        </w:rPr>
        <w:t>a</w:t>
      </w:r>
      <w:r w:rsidR="00E31DC2" w:rsidRPr="00E31DC2">
        <w:rPr>
          <w:rFonts w:ascii="Times New Roman" w:eastAsiaTheme="minorEastAsia" w:hAnsi="Times New Roman" w:cs="Times New Roman"/>
          <w:lang w:eastAsia="et-EE"/>
        </w:rPr>
        <w:t>t</w:t>
      </w:r>
      <w:r w:rsidR="00E31DC2">
        <w:rPr>
          <w:rFonts w:ascii="Times New Roman" w:eastAsiaTheme="minorEastAsia" w:hAnsi="Times New Roman" w:cs="Times New Roman"/>
          <w:lang w:eastAsia="et-EE"/>
        </w:rPr>
        <w:t>sientidel arvule</w:t>
      </w:r>
      <w:r w:rsidR="00953B17">
        <w:rPr>
          <w:rFonts w:ascii="Times New Roman" w:eastAsiaTheme="minorEastAsia" w:hAnsi="Times New Roman" w:cs="Times New Roman"/>
          <w:lang w:eastAsia="et-EE"/>
        </w:rPr>
        <w:t xml:space="preserve"> </w:t>
      </w:r>
      <w:r w:rsidR="008B7167" w:rsidRPr="008B7167">
        <w:rPr>
          <w:rFonts w:ascii="Times New Roman" w:eastAsiaTheme="minorEastAsia" w:hAnsi="Times New Roman" w:cs="Times New Roman"/>
          <w:highlight w:val="lightGray"/>
          <w:lang w:eastAsia="et-EE"/>
        </w:rPr>
        <w:t>…</w:t>
      </w:r>
      <w:r w:rsidR="00E31DC2" w:rsidRPr="00E31DC2">
        <w:rPr>
          <w:rFonts w:ascii="Times New Roman" w:eastAsiaTheme="minorEastAsia" w:hAnsi="Times New Roman" w:cs="Times New Roman"/>
          <w:lang w:eastAsia="et-EE"/>
        </w:rPr>
        <w:t xml:space="preserve"> eurot</w:t>
      </w:r>
      <w:r w:rsidR="00E31DC2">
        <w:rPr>
          <w:rFonts w:ascii="Times New Roman" w:eastAsiaTheme="minorEastAsia" w:hAnsi="Times New Roman" w:cs="Times New Roman"/>
          <w:lang w:eastAsia="et-EE"/>
        </w:rPr>
        <w:t>.</w:t>
      </w:r>
    </w:p>
    <w:p w14:paraId="7FFF5AB6" w14:textId="77777777" w:rsidR="00840BEF" w:rsidRPr="0017514B" w:rsidRDefault="00840BEF" w:rsidP="008E7F33">
      <w:pPr>
        <w:spacing w:before="120" w:after="120" w:line="269" w:lineRule="auto"/>
        <w:jc w:val="both"/>
        <w:rPr>
          <w:rFonts w:ascii="Times New Roman" w:eastAsia="Times New Roman" w:hAnsi="Times New Roman" w:cs="Times New Roman"/>
          <w:b/>
          <w:u w:val="single"/>
          <w:lang w:eastAsia="et-EE"/>
        </w:rPr>
      </w:pPr>
      <w:r w:rsidRPr="0017514B">
        <w:rPr>
          <w:rFonts w:ascii="Times New Roman" w:eastAsia="Times New Roman" w:hAnsi="Times New Roman" w:cs="Times New Roman"/>
          <w:b/>
          <w:u w:val="single"/>
          <w:lang w:eastAsia="et-EE"/>
        </w:rPr>
        <w:t>Diskussioon</w:t>
      </w:r>
    </w:p>
    <w:p w14:paraId="0247EDD5" w14:textId="77777777" w:rsidR="00942D26" w:rsidRDefault="00DD3D8E" w:rsidP="00860EDC">
      <w:pPr>
        <w:spacing w:before="120" w:after="120" w:line="269" w:lineRule="auto"/>
        <w:jc w:val="both"/>
        <w:rPr>
          <w:rFonts w:ascii="Times New Roman" w:eastAsia="Times New Roman" w:hAnsi="Times New Roman" w:cs="Times New Roman"/>
          <w:lang w:eastAsia="et-EE"/>
        </w:rPr>
      </w:pPr>
      <w:r w:rsidRPr="00DD3D8E">
        <w:rPr>
          <w:rFonts w:ascii="Times New Roman" w:eastAsia="Times New Roman" w:hAnsi="Times New Roman" w:cs="Times New Roman"/>
          <w:lang w:eastAsia="et-EE"/>
        </w:rPr>
        <w:t xml:space="preserve">Komisjon arutles </w:t>
      </w:r>
      <w:r w:rsidR="00BD2D9E">
        <w:rPr>
          <w:rFonts w:ascii="Times New Roman" w:eastAsia="Times New Roman" w:hAnsi="Times New Roman" w:cs="Times New Roman"/>
          <w:lang w:eastAsia="et-EE"/>
        </w:rPr>
        <w:t>selle üle, milline on vajadus taotletava ravimi järele ning millised on kasutatavad alternatiivid.</w:t>
      </w:r>
      <w:r w:rsidR="00841AB4">
        <w:rPr>
          <w:rFonts w:ascii="Times New Roman" w:eastAsia="Times New Roman" w:hAnsi="Times New Roman" w:cs="Times New Roman"/>
          <w:lang w:eastAsia="et-EE"/>
        </w:rPr>
        <w:t xml:space="preserve"> </w:t>
      </w:r>
      <w:r w:rsidR="006B0096" w:rsidRPr="009C2E8F">
        <w:rPr>
          <w:rFonts w:ascii="Times New Roman" w:eastAsia="Times New Roman" w:hAnsi="Times New Roman" w:cs="Times New Roman"/>
          <w:lang w:eastAsia="et-EE"/>
        </w:rPr>
        <w:t xml:space="preserve">Ibrutiniibravi järgselt </w:t>
      </w:r>
      <w:r w:rsidR="0041457E">
        <w:rPr>
          <w:rFonts w:ascii="Times New Roman" w:eastAsia="Times New Roman" w:hAnsi="Times New Roman" w:cs="Times New Roman"/>
          <w:lang w:eastAsia="et-EE"/>
        </w:rPr>
        <w:t xml:space="preserve">on </w:t>
      </w:r>
      <w:r w:rsidR="006B0096" w:rsidRPr="009C2E8F">
        <w:rPr>
          <w:rFonts w:ascii="Times New Roman" w:eastAsia="Times New Roman" w:hAnsi="Times New Roman" w:cs="Times New Roman"/>
          <w:lang w:eastAsia="et-EE"/>
        </w:rPr>
        <w:t>Eestis</w:t>
      </w:r>
      <w:r w:rsidR="0041457E">
        <w:rPr>
          <w:rFonts w:ascii="Times New Roman" w:eastAsia="Times New Roman" w:hAnsi="Times New Roman" w:cs="Times New Roman"/>
          <w:lang w:eastAsia="et-EE"/>
        </w:rPr>
        <w:t xml:space="preserve"> võimalik kasutada rituksimabi monoteraapias või koos prednisolooniga, mis tootja hinnangul on parim toetav ravi. V</w:t>
      </w:r>
      <w:r w:rsidR="009C2E8F" w:rsidRPr="009C2E8F">
        <w:rPr>
          <w:rFonts w:ascii="Times New Roman" w:eastAsia="Times New Roman" w:hAnsi="Times New Roman" w:cs="Times New Roman"/>
          <w:lang w:eastAsia="et-EE"/>
        </w:rPr>
        <w:t>enetokla</w:t>
      </w:r>
      <w:r w:rsidR="009C2E8F">
        <w:rPr>
          <w:rFonts w:ascii="Times New Roman" w:eastAsia="Times New Roman" w:hAnsi="Times New Roman" w:cs="Times New Roman"/>
          <w:lang w:eastAsia="et-EE"/>
        </w:rPr>
        <w:t>k</w:t>
      </w:r>
      <w:r w:rsidR="009C2E8F" w:rsidRPr="009C2E8F">
        <w:rPr>
          <w:rFonts w:ascii="Times New Roman" w:eastAsia="Times New Roman" w:hAnsi="Times New Roman" w:cs="Times New Roman"/>
          <w:lang w:eastAsia="et-EE"/>
        </w:rPr>
        <w:t>si</w:t>
      </w:r>
      <w:r w:rsidR="009C2E8F">
        <w:rPr>
          <w:rFonts w:ascii="Times New Roman" w:eastAsia="Times New Roman" w:hAnsi="Times New Roman" w:cs="Times New Roman"/>
          <w:lang w:eastAsia="et-EE"/>
        </w:rPr>
        <w:t>g</w:t>
      </w:r>
      <w:r w:rsidR="009C2E8F" w:rsidRPr="009C2E8F">
        <w:rPr>
          <w:rFonts w:ascii="Times New Roman" w:eastAsia="Times New Roman" w:hAnsi="Times New Roman" w:cs="Times New Roman"/>
          <w:lang w:eastAsia="et-EE"/>
        </w:rPr>
        <w:t>a samas reas alternatiivseid ravimeid hetkel hüvitatud ei ole</w:t>
      </w:r>
      <w:r w:rsidR="0041457E">
        <w:rPr>
          <w:rFonts w:ascii="Times New Roman" w:eastAsia="Times New Roman" w:hAnsi="Times New Roman" w:cs="Times New Roman"/>
          <w:lang w:eastAsia="et-EE"/>
        </w:rPr>
        <w:t xml:space="preserve">, seega </w:t>
      </w:r>
      <w:r w:rsidR="00942D26">
        <w:rPr>
          <w:rFonts w:ascii="Times New Roman" w:eastAsia="Times New Roman" w:hAnsi="Times New Roman" w:cs="Times New Roman"/>
          <w:lang w:eastAsia="et-EE"/>
        </w:rPr>
        <w:t xml:space="preserve">on vajadus ravimi järele ilmne. </w:t>
      </w:r>
    </w:p>
    <w:p w14:paraId="1C7BC5A5" w14:textId="77777777" w:rsidR="0041457E" w:rsidRDefault="009C2E8F" w:rsidP="00860EDC">
      <w:pPr>
        <w:spacing w:before="120" w:after="120" w:line="269"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 xml:space="preserve">Taotleja on prognoosinud igal aastal umbes 5 – 7 potentsiaalselt ibrutiniibravi vajavat patsienti, kellest venetoklaksi </w:t>
      </w:r>
      <w:r w:rsidR="00131D9C">
        <w:rPr>
          <w:rFonts w:ascii="Times New Roman" w:eastAsia="Times New Roman" w:hAnsi="Times New Roman" w:cs="Times New Roman"/>
          <w:lang w:eastAsia="et-EE"/>
        </w:rPr>
        <w:t>vajaks edaspidi ilmselt</w:t>
      </w:r>
      <w:r>
        <w:rPr>
          <w:rFonts w:ascii="Times New Roman" w:eastAsia="Times New Roman" w:hAnsi="Times New Roman" w:cs="Times New Roman"/>
          <w:lang w:eastAsia="et-EE"/>
        </w:rPr>
        <w:t xml:space="preserve"> 4 – 6 patsienti. Haigekassa statistikast nähtub, et 2017</w:t>
      </w:r>
      <w:r w:rsidR="00131D9C">
        <w:rPr>
          <w:rFonts w:ascii="Times New Roman" w:eastAsia="Times New Roman" w:hAnsi="Times New Roman" w:cs="Times New Roman"/>
          <w:lang w:eastAsia="et-EE"/>
        </w:rPr>
        <w:t>.</w:t>
      </w:r>
      <w:r>
        <w:rPr>
          <w:rFonts w:ascii="Times New Roman" w:eastAsia="Times New Roman" w:hAnsi="Times New Roman" w:cs="Times New Roman"/>
          <w:lang w:eastAsia="et-EE"/>
        </w:rPr>
        <w:t xml:space="preserve"> a. kolme kvartali jooksul on ibrutiniibi hüvitatud 16 patsiendile, </w:t>
      </w:r>
      <w:r w:rsidR="00022E1C">
        <w:rPr>
          <w:rFonts w:ascii="Times New Roman" w:eastAsia="Times New Roman" w:hAnsi="Times New Roman" w:cs="Times New Roman"/>
          <w:lang w:eastAsia="et-EE"/>
        </w:rPr>
        <w:t xml:space="preserve">2018 a. I kvartalis 15 patsiendile, </w:t>
      </w:r>
      <w:r w:rsidR="00131D9C">
        <w:rPr>
          <w:rFonts w:ascii="Times New Roman" w:eastAsia="Times New Roman" w:hAnsi="Times New Roman" w:cs="Times New Roman"/>
          <w:lang w:eastAsia="et-EE"/>
        </w:rPr>
        <w:t>see</w:t>
      </w:r>
      <w:r>
        <w:rPr>
          <w:rFonts w:ascii="Times New Roman" w:eastAsia="Times New Roman" w:hAnsi="Times New Roman" w:cs="Times New Roman"/>
          <w:lang w:eastAsia="et-EE"/>
        </w:rPr>
        <w:t>tõttu võib venetoklaksi vajavate patsientide arv olla oluliselt suurem</w:t>
      </w:r>
      <w:r w:rsidR="00131D9C">
        <w:rPr>
          <w:rFonts w:ascii="Times New Roman" w:eastAsia="Times New Roman" w:hAnsi="Times New Roman" w:cs="Times New Roman"/>
          <w:lang w:eastAsia="et-EE"/>
        </w:rPr>
        <w:t>,</w:t>
      </w:r>
      <w:r>
        <w:rPr>
          <w:rFonts w:ascii="Times New Roman" w:eastAsia="Times New Roman" w:hAnsi="Times New Roman" w:cs="Times New Roman"/>
          <w:lang w:eastAsia="et-EE"/>
        </w:rPr>
        <w:t xml:space="preserve"> kui taotleja prognoosib.  </w:t>
      </w:r>
    </w:p>
    <w:p w14:paraId="535A0670" w14:textId="77777777" w:rsidR="00756AA3" w:rsidRDefault="00841AB4" w:rsidP="00860EDC">
      <w:pPr>
        <w:spacing w:before="120" w:after="120" w:line="269"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lastRenderedPageBreak/>
        <w:t>Venetoklaksi</w:t>
      </w:r>
      <w:r w:rsidR="00871293">
        <w:rPr>
          <w:rFonts w:ascii="Times New Roman" w:eastAsia="Times New Roman" w:hAnsi="Times New Roman" w:cs="Times New Roman"/>
          <w:lang w:eastAsia="et-EE"/>
        </w:rPr>
        <w:t xml:space="preserve"> efektiivsuse ja ohutuse kohta on </w:t>
      </w:r>
      <w:r w:rsidR="00131D9C">
        <w:rPr>
          <w:rFonts w:ascii="Times New Roman" w:eastAsia="Times New Roman" w:hAnsi="Times New Roman" w:cs="Times New Roman"/>
          <w:lang w:eastAsia="et-EE"/>
        </w:rPr>
        <w:t xml:space="preserve">praegu </w:t>
      </w:r>
      <w:r w:rsidR="00276C49">
        <w:rPr>
          <w:rFonts w:ascii="Times New Roman" w:eastAsia="Times New Roman" w:hAnsi="Times New Roman" w:cs="Times New Roman"/>
          <w:lang w:eastAsia="et-EE"/>
        </w:rPr>
        <w:t xml:space="preserve">olemas </w:t>
      </w:r>
      <w:r w:rsidR="00C13151">
        <w:rPr>
          <w:rFonts w:ascii="Times New Roman" w:eastAsia="Times New Roman" w:hAnsi="Times New Roman" w:cs="Times New Roman"/>
          <w:lang w:eastAsia="et-EE"/>
        </w:rPr>
        <w:t xml:space="preserve">ainult II faasi uuringud, </w:t>
      </w:r>
      <w:r w:rsidR="00756AA3">
        <w:rPr>
          <w:rFonts w:ascii="Times New Roman" w:eastAsia="Times New Roman" w:hAnsi="Times New Roman" w:cs="Times New Roman"/>
          <w:lang w:eastAsia="et-EE"/>
        </w:rPr>
        <w:t xml:space="preserve">kus </w:t>
      </w:r>
      <w:r w:rsidR="00BB5113">
        <w:rPr>
          <w:rFonts w:ascii="Times New Roman" w:eastAsia="Times New Roman" w:hAnsi="Times New Roman" w:cs="Times New Roman"/>
          <w:lang w:eastAsia="et-EE"/>
        </w:rPr>
        <w:t xml:space="preserve">varasemalt ibrutiniibiga ravitud isikute osakaal </w:t>
      </w:r>
      <w:r w:rsidR="00131D9C">
        <w:rPr>
          <w:rFonts w:ascii="Times New Roman" w:eastAsia="Times New Roman" w:hAnsi="Times New Roman" w:cs="Times New Roman"/>
          <w:lang w:eastAsia="et-EE"/>
        </w:rPr>
        <w:t xml:space="preserve">oli </w:t>
      </w:r>
      <w:r w:rsidR="00BB5113">
        <w:rPr>
          <w:rFonts w:ascii="Times New Roman" w:eastAsia="Times New Roman" w:hAnsi="Times New Roman" w:cs="Times New Roman"/>
          <w:lang w:eastAsia="et-EE"/>
        </w:rPr>
        <w:t xml:space="preserve">väike (Stilgenbauer S </w:t>
      </w:r>
      <w:r w:rsidR="00BB5113" w:rsidRPr="00BB5113">
        <w:rPr>
          <w:rFonts w:ascii="Times New Roman" w:eastAsia="Times New Roman" w:hAnsi="Times New Roman" w:cs="Times New Roman"/>
          <w:i/>
          <w:lang w:eastAsia="et-EE"/>
        </w:rPr>
        <w:t>et al</w:t>
      </w:r>
      <w:r w:rsidR="00BB5113">
        <w:rPr>
          <w:rFonts w:ascii="Times New Roman" w:eastAsia="Times New Roman" w:hAnsi="Times New Roman" w:cs="Times New Roman"/>
          <w:lang w:eastAsia="et-EE"/>
        </w:rPr>
        <w:t>, 3%)</w:t>
      </w:r>
      <w:r w:rsidR="009067CE">
        <w:rPr>
          <w:rFonts w:ascii="Times New Roman" w:eastAsia="Times New Roman" w:hAnsi="Times New Roman" w:cs="Times New Roman"/>
          <w:lang w:eastAsia="et-EE"/>
        </w:rPr>
        <w:t>.</w:t>
      </w:r>
      <w:r w:rsidR="00BB5113">
        <w:rPr>
          <w:rFonts w:ascii="Times New Roman" w:eastAsia="Times New Roman" w:hAnsi="Times New Roman" w:cs="Times New Roman"/>
          <w:lang w:eastAsia="et-EE"/>
        </w:rPr>
        <w:t xml:space="preserve"> </w:t>
      </w:r>
      <w:r w:rsidR="00B00663">
        <w:rPr>
          <w:rFonts w:ascii="Times New Roman" w:eastAsia="Times New Roman" w:hAnsi="Times New Roman" w:cs="Times New Roman"/>
          <w:lang w:eastAsia="et-EE"/>
        </w:rPr>
        <w:t>Ibrutiniibravi järgselt on ilma ravita (rituksimabi foonil) hinnatud 17</w:t>
      </w:r>
      <w:r w:rsidR="00FD751E">
        <w:rPr>
          <w:rFonts w:ascii="Times New Roman" w:eastAsia="Times New Roman" w:hAnsi="Times New Roman" w:cs="Times New Roman"/>
          <w:lang w:eastAsia="et-EE"/>
        </w:rPr>
        <w:t>p</w:t>
      </w:r>
      <w:r w:rsidR="00B00663">
        <w:rPr>
          <w:rFonts w:ascii="Times New Roman" w:eastAsia="Times New Roman" w:hAnsi="Times New Roman" w:cs="Times New Roman"/>
          <w:lang w:eastAsia="et-EE"/>
        </w:rPr>
        <w:t xml:space="preserve"> deletsiooni või TP53 mutatsiooniga KLL elulemuse mediaaniks 3,1 kuud kuni 17,6 kuud. Venetoklaksi I faasi uuringus (Roberts A </w:t>
      </w:r>
      <w:r w:rsidR="00B00663" w:rsidRPr="00B00663">
        <w:rPr>
          <w:rFonts w:ascii="Times New Roman" w:eastAsia="Times New Roman" w:hAnsi="Times New Roman" w:cs="Times New Roman"/>
          <w:i/>
          <w:lang w:eastAsia="et-EE"/>
        </w:rPr>
        <w:t>et al</w:t>
      </w:r>
      <w:r w:rsidR="00B00663">
        <w:rPr>
          <w:rFonts w:ascii="Times New Roman" w:eastAsia="Times New Roman" w:hAnsi="Times New Roman" w:cs="Times New Roman"/>
          <w:lang w:eastAsia="et-EE"/>
        </w:rPr>
        <w:t xml:space="preserve">, 2016) hinnati </w:t>
      </w:r>
      <w:r w:rsidR="00FD751E">
        <w:rPr>
          <w:rFonts w:ascii="Times New Roman" w:eastAsia="Times New Roman" w:hAnsi="Times New Roman" w:cs="Times New Roman"/>
          <w:lang w:eastAsia="et-EE"/>
        </w:rPr>
        <w:t xml:space="preserve">17p deletsiooniga patsientide progressioonivaba </w:t>
      </w:r>
      <w:r w:rsidR="00131D9C">
        <w:rPr>
          <w:rFonts w:ascii="Times New Roman" w:eastAsia="Times New Roman" w:hAnsi="Times New Roman" w:cs="Times New Roman"/>
          <w:lang w:eastAsia="et-EE"/>
        </w:rPr>
        <w:t xml:space="preserve">perioodi </w:t>
      </w:r>
      <w:r w:rsidR="00FD751E">
        <w:rPr>
          <w:rFonts w:ascii="Times New Roman" w:eastAsia="Times New Roman" w:hAnsi="Times New Roman" w:cs="Times New Roman"/>
          <w:lang w:eastAsia="et-EE"/>
        </w:rPr>
        <w:t xml:space="preserve">mediaaniks 16 kuud. </w:t>
      </w:r>
    </w:p>
    <w:p w14:paraId="3FB5C9B5" w14:textId="77777777" w:rsidR="00472783" w:rsidRDefault="00756AA3" w:rsidP="00860EDC">
      <w:pPr>
        <w:spacing w:before="120" w:after="120" w:line="269"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 xml:space="preserve">Uuringute esmaste tulemuste põhjal on Euroopa ravimiamet väljastanud ravimile tingimusliku müügiloa. </w:t>
      </w:r>
      <w:r w:rsidR="00841AB4">
        <w:rPr>
          <w:rFonts w:ascii="Times New Roman" w:eastAsia="Times New Roman" w:hAnsi="Times New Roman" w:cs="Times New Roman"/>
          <w:lang w:eastAsia="et-EE"/>
        </w:rPr>
        <w:t xml:space="preserve">Müügiluba andes on </w:t>
      </w:r>
      <w:r w:rsidR="003F1429">
        <w:rPr>
          <w:rFonts w:ascii="Times New Roman" w:eastAsia="Times New Roman" w:hAnsi="Times New Roman" w:cs="Times New Roman"/>
          <w:lang w:eastAsia="et-EE"/>
        </w:rPr>
        <w:t xml:space="preserve">hinnatud, et kasvajaravi vastus on püsiv ja see tõenäoliselt ennustab ette kliinilist kasu, aga </w:t>
      </w:r>
      <w:r w:rsidR="00FD751E">
        <w:rPr>
          <w:rFonts w:ascii="Times New Roman" w:eastAsia="Times New Roman" w:hAnsi="Times New Roman" w:cs="Times New Roman"/>
          <w:lang w:eastAsia="et-EE"/>
        </w:rPr>
        <w:t xml:space="preserve">seda ei ole võimalik </w:t>
      </w:r>
      <w:r w:rsidR="003F1429">
        <w:rPr>
          <w:rFonts w:ascii="Times New Roman" w:eastAsia="Times New Roman" w:hAnsi="Times New Roman" w:cs="Times New Roman"/>
          <w:lang w:eastAsia="et-EE"/>
        </w:rPr>
        <w:t>kvantitatiiv</w:t>
      </w:r>
      <w:r w:rsidR="00FD751E">
        <w:rPr>
          <w:rFonts w:ascii="Times New Roman" w:eastAsia="Times New Roman" w:hAnsi="Times New Roman" w:cs="Times New Roman"/>
          <w:lang w:eastAsia="et-EE"/>
        </w:rPr>
        <w:t xml:space="preserve">selt </w:t>
      </w:r>
      <w:r w:rsidR="00131D9C">
        <w:rPr>
          <w:rFonts w:ascii="Times New Roman" w:eastAsia="Times New Roman" w:hAnsi="Times New Roman" w:cs="Times New Roman"/>
          <w:lang w:eastAsia="et-EE"/>
        </w:rPr>
        <w:t xml:space="preserve">hinnata </w:t>
      </w:r>
      <w:r w:rsidR="00FD751E">
        <w:rPr>
          <w:rFonts w:ascii="Times New Roman" w:eastAsia="Times New Roman" w:hAnsi="Times New Roman" w:cs="Times New Roman"/>
          <w:lang w:eastAsia="et-EE"/>
        </w:rPr>
        <w:t>olemasolevate uuringutetulemuste põhjal</w:t>
      </w:r>
      <w:r w:rsidR="003F1429">
        <w:rPr>
          <w:rFonts w:ascii="Times New Roman" w:eastAsia="Times New Roman" w:hAnsi="Times New Roman" w:cs="Times New Roman"/>
          <w:lang w:eastAsia="et-EE"/>
        </w:rPr>
        <w:t>.</w:t>
      </w:r>
      <w:r w:rsidR="00FD751E">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Rahvusvahelised eksperdid on hinnanud venetoklaksi toimel tuumori kahanemise ning ravivastuse kliiniliselt oluliseks.</w:t>
      </w:r>
      <w:r w:rsidR="00B61CE5">
        <w:rPr>
          <w:rFonts w:ascii="Times New Roman" w:eastAsia="Times New Roman" w:hAnsi="Times New Roman" w:cs="Times New Roman"/>
          <w:lang w:eastAsia="et-EE"/>
        </w:rPr>
        <w:t xml:space="preserve"> Komisjon nentis, et ravimi efektiivsus ei ole </w:t>
      </w:r>
      <w:r w:rsidR="00131D9C">
        <w:rPr>
          <w:rFonts w:ascii="Times New Roman" w:eastAsia="Times New Roman" w:hAnsi="Times New Roman" w:cs="Times New Roman"/>
          <w:lang w:eastAsia="et-EE"/>
        </w:rPr>
        <w:t>praeguste andmete alusel kvantifitseeritav ning see ebakindlus on Eesti ravikindlustuse eelarve tingimustes liiga suur</w:t>
      </w:r>
      <w:r w:rsidR="00B61CE5">
        <w:rPr>
          <w:rFonts w:ascii="Times New Roman" w:eastAsia="Times New Roman" w:hAnsi="Times New Roman" w:cs="Times New Roman"/>
          <w:lang w:eastAsia="et-EE"/>
        </w:rPr>
        <w:t xml:space="preserve">. </w:t>
      </w:r>
    </w:p>
    <w:p w14:paraId="3C08087C" w14:textId="77777777" w:rsidR="00B61CE5" w:rsidRDefault="00B61CE5" w:rsidP="00860EDC">
      <w:pPr>
        <w:spacing w:before="120" w:after="120" w:line="269"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Komisjon tõdes</w:t>
      </w:r>
      <w:r w:rsidR="00131D9C">
        <w:rPr>
          <w:rFonts w:ascii="Times New Roman" w:eastAsia="Times New Roman" w:hAnsi="Times New Roman" w:cs="Times New Roman"/>
          <w:lang w:eastAsia="et-EE"/>
        </w:rPr>
        <w:t xml:space="preserve"> kokkuvõttes</w:t>
      </w:r>
      <w:r>
        <w:rPr>
          <w:rFonts w:ascii="Times New Roman" w:eastAsia="Times New Roman" w:hAnsi="Times New Roman" w:cs="Times New Roman"/>
          <w:lang w:eastAsia="et-EE"/>
        </w:rPr>
        <w:t xml:space="preserve">, et vajadus </w:t>
      </w:r>
      <w:r w:rsidR="00131D9C">
        <w:rPr>
          <w:rFonts w:ascii="Times New Roman" w:eastAsia="Times New Roman" w:hAnsi="Times New Roman" w:cs="Times New Roman"/>
          <w:lang w:eastAsia="et-EE"/>
        </w:rPr>
        <w:t xml:space="preserve">ravimi järele </w:t>
      </w:r>
      <w:r>
        <w:rPr>
          <w:rFonts w:ascii="Times New Roman" w:eastAsia="Times New Roman" w:hAnsi="Times New Roman" w:cs="Times New Roman"/>
          <w:lang w:eastAsia="et-EE"/>
        </w:rPr>
        <w:t>on olemas</w:t>
      </w:r>
      <w:r w:rsidR="00F23749">
        <w:rPr>
          <w:rFonts w:ascii="Times New Roman" w:eastAsia="Times New Roman" w:hAnsi="Times New Roman" w:cs="Times New Roman"/>
          <w:lang w:eastAsia="et-EE"/>
        </w:rPr>
        <w:t>,</w:t>
      </w:r>
      <w:r>
        <w:rPr>
          <w:rFonts w:ascii="Times New Roman" w:eastAsia="Times New Roman" w:hAnsi="Times New Roman" w:cs="Times New Roman"/>
          <w:lang w:eastAsia="et-EE"/>
        </w:rPr>
        <w:t xml:space="preserve"> aga </w:t>
      </w:r>
      <w:r w:rsidR="00131D9C">
        <w:rPr>
          <w:rFonts w:ascii="Times New Roman" w:eastAsia="Times New Roman" w:hAnsi="Times New Roman" w:cs="Times New Roman"/>
          <w:lang w:eastAsia="et-EE"/>
        </w:rPr>
        <w:t xml:space="preserve">toime ei ole kvantifitseeritav  </w:t>
      </w:r>
      <w:r w:rsidR="00F23749">
        <w:rPr>
          <w:rFonts w:ascii="Times New Roman" w:eastAsia="Times New Roman" w:hAnsi="Times New Roman" w:cs="Times New Roman"/>
          <w:lang w:eastAsia="et-EE"/>
        </w:rPr>
        <w:t xml:space="preserve">ja kulutõhusus </w:t>
      </w:r>
      <w:r w:rsidR="00131D9C">
        <w:rPr>
          <w:rFonts w:ascii="Times New Roman" w:eastAsia="Times New Roman" w:hAnsi="Times New Roman" w:cs="Times New Roman"/>
          <w:lang w:eastAsia="et-EE"/>
        </w:rPr>
        <w:t xml:space="preserve">seetõttu </w:t>
      </w:r>
      <w:r w:rsidR="00F23749">
        <w:rPr>
          <w:rFonts w:ascii="Times New Roman" w:eastAsia="Times New Roman" w:hAnsi="Times New Roman" w:cs="Times New Roman"/>
          <w:lang w:eastAsia="et-EE"/>
        </w:rPr>
        <w:t>teadmata</w:t>
      </w:r>
      <w:r w:rsidR="00131D9C">
        <w:rPr>
          <w:rFonts w:ascii="Times New Roman" w:eastAsia="Times New Roman" w:hAnsi="Times New Roman" w:cs="Times New Roman"/>
          <w:lang w:eastAsia="et-EE"/>
        </w:rPr>
        <w:t>. Eelarvemõju väga suur. T</w:t>
      </w:r>
      <w:r w:rsidR="00F23749">
        <w:rPr>
          <w:rFonts w:ascii="Times New Roman" w:eastAsia="Times New Roman" w:hAnsi="Times New Roman" w:cs="Times New Roman"/>
          <w:lang w:eastAsia="et-EE"/>
        </w:rPr>
        <w:t xml:space="preserve">avapärasel moel </w:t>
      </w:r>
      <w:r w:rsidR="00131D9C">
        <w:rPr>
          <w:rFonts w:ascii="Times New Roman" w:eastAsia="Times New Roman" w:hAnsi="Times New Roman" w:cs="Times New Roman"/>
          <w:lang w:eastAsia="et-EE"/>
        </w:rPr>
        <w:t xml:space="preserve">ei ole </w:t>
      </w:r>
      <w:r w:rsidR="00F23749">
        <w:rPr>
          <w:rFonts w:ascii="Times New Roman" w:eastAsia="Times New Roman" w:hAnsi="Times New Roman" w:cs="Times New Roman"/>
          <w:lang w:eastAsia="et-EE"/>
        </w:rPr>
        <w:t>võimalik ravimit kompenseerida.</w:t>
      </w:r>
      <w:r w:rsidR="00EB7616">
        <w:rPr>
          <w:rFonts w:ascii="Times New Roman" w:eastAsia="Times New Roman" w:hAnsi="Times New Roman" w:cs="Times New Roman"/>
          <w:lang w:eastAsia="et-EE"/>
        </w:rPr>
        <w:t xml:space="preserve"> </w:t>
      </w:r>
      <w:r w:rsidR="00F23749">
        <w:rPr>
          <w:rFonts w:ascii="Times New Roman" w:eastAsia="Times New Roman" w:hAnsi="Times New Roman" w:cs="Times New Roman"/>
          <w:lang w:eastAsia="et-EE"/>
        </w:rPr>
        <w:t xml:space="preserve">Arutati, kas oleks </w:t>
      </w:r>
      <w:r w:rsidR="00C75DDF">
        <w:rPr>
          <w:rFonts w:ascii="Times New Roman" w:eastAsia="Times New Roman" w:hAnsi="Times New Roman" w:cs="Times New Roman"/>
          <w:lang w:eastAsia="et-EE"/>
        </w:rPr>
        <w:t>mõeldav</w:t>
      </w:r>
      <w:r w:rsidR="00F23749">
        <w:rPr>
          <w:rFonts w:ascii="Times New Roman" w:eastAsia="Times New Roman" w:hAnsi="Times New Roman" w:cs="Times New Roman"/>
          <w:lang w:eastAsia="et-EE"/>
        </w:rPr>
        <w:t xml:space="preserve"> rakendada</w:t>
      </w:r>
      <w:r>
        <w:rPr>
          <w:rFonts w:ascii="Times New Roman" w:eastAsia="Times New Roman" w:hAnsi="Times New Roman" w:cs="Times New Roman"/>
          <w:lang w:eastAsia="et-EE"/>
        </w:rPr>
        <w:t xml:space="preserve"> </w:t>
      </w:r>
      <w:r w:rsidR="00131D9C">
        <w:rPr>
          <w:rFonts w:ascii="Times New Roman" w:eastAsia="Times New Roman" w:hAnsi="Times New Roman" w:cs="Times New Roman"/>
          <w:lang w:eastAsia="et-EE"/>
        </w:rPr>
        <w:t xml:space="preserve">mõnda </w:t>
      </w:r>
      <w:r>
        <w:rPr>
          <w:rFonts w:ascii="Times New Roman" w:eastAsia="Times New Roman" w:hAnsi="Times New Roman" w:cs="Times New Roman"/>
          <w:lang w:eastAsia="et-EE"/>
        </w:rPr>
        <w:t xml:space="preserve">kulu- </w:t>
      </w:r>
      <w:r w:rsidR="00F23749">
        <w:rPr>
          <w:rFonts w:ascii="Times New Roman" w:eastAsia="Times New Roman" w:hAnsi="Times New Roman" w:cs="Times New Roman"/>
          <w:lang w:eastAsia="et-EE"/>
        </w:rPr>
        <w:t>või</w:t>
      </w:r>
      <w:r>
        <w:rPr>
          <w:rFonts w:ascii="Times New Roman" w:eastAsia="Times New Roman" w:hAnsi="Times New Roman" w:cs="Times New Roman"/>
          <w:lang w:eastAsia="et-EE"/>
        </w:rPr>
        <w:t xml:space="preserve"> riskijagamis</w:t>
      </w:r>
      <w:r w:rsidR="00F23749">
        <w:rPr>
          <w:rFonts w:ascii="Times New Roman" w:eastAsia="Times New Roman" w:hAnsi="Times New Roman" w:cs="Times New Roman"/>
          <w:lang w:eastAsia="et-EE"/>
        </w:rPr>
        <w:t xml:space="preserve">t, </w:t>
      </w:r>
      <w:r w:rsidR="00131D9C">
        <w:rPr>
          <w:rFonts w:ascii="Times New Roman" w:eastAsia="Times New Roman" w:hAnsi="Times New Roman" w:cs="Times New Roman"/>
          <w:lang w:eastAsia="et-EE"/>
        </w:rPr>
        <w:t xml:space="preserve">nt </w:t>
      </w:r>
      <w:r w:rsidR="00C75DDF">
        <w:rPr>
          <w:rFonts w:ascii="Times New Roman" w:eastAsia="Times New Roman" w:hAnsi="Times New Roman" w:cs="Times New Roman"/>
          <w:lang w:eastAsia="et-EE"/>
        </w:rPr>
        <w:t xml:space="preserve">mille korral tootja tasub patsientide ravi eest </w:t>
      </w:r>
      <w:r w:rsidR="00F46794">
        <w:rPr>
          <w:rFonts w:ascii="Times New Roman" w:eastAsia="Times New Roman" w:hAnsi="Times New Roman" w:cs="Times New Roman"/>
          <w:lang w:eastAsia="et-EE"/>
        </w:rPr>
        <w:t>ming</w:t>
      </w:r>
      <w:r w:rsidR="00C75DDF">
        <w:rPr>
          <w:rFonts w:ascii="Times New Roman" w:eastAsia="Times New Roman" w:hAnsi="Times New Roman" w:cs="Times New Roman"/>
          <w:lang w:eastAsia="et-EE"/>
        </w:rPr>
        <w:t xml:space="preserve">i aja vältel ja kui kokkulepitud eesmärgid (ravivastuse saavutamine ja selle püsimine </w:t>
      </w:r>
      <w:r w:rsidR="00F46794">
        <w:rPr>
          <w:rFonts w:ascii="Times New Roman" w:eastAsia="Times New Roman" w:hAnsi="Times New Roman" w:cs="Times New Roman"/>
          <w:lang w:eastAsia="et-EE"/>
        </w:rPr>
        <w:t>teatud aja jooksul</w:t>
      </w:r>
      <w:r w:rsidR="00C75DDF">
        <w:rPr>
          <w:rFonts w:ascii="Times New Roman" w:eastAsia="Times New Roman" w:hAnsi="Times New Roman" w:cs="Times New Roman"/>
          <w:lang w:eastAsia="et-EE"/>
        </w:rPr>
        <w:t xml:space="preserve">) on saavutatud, võtab haigekassa </w:t>
      </w:r>
      <w:r w:rsidR="00F46794">
        <w:rPr>
          <w:rFonts w:ascii="Times New Roman" w:eastAsia="Times New Roman" w:hAnsi="Times New Roman" w:cs="Times New Roman"/>
          <w:lang w:eastAsia="et-EE"/>
        </w:rPr>
        <w:t xml:space="preserve">tasu maksmise </w:t>
      </w:r>
      <w:r w:rsidR="00C75DDF">
        <w:rPr>
          <w:rFonts w:ascii="Times New Roman" w:eastAsia="Times New Roman" w:hAnsi="Times New Roman" w:cs="Times New Roman"/>
          <w:lang w:eastAsia="et-EE"/>
        </w:rPr>
        <w:t xml:space="preserve">kohustuse üle. </w:t>
      </w:r>
      <w:r w:rsidR="00EB7616">
        <w:rPr>
          <w:rFonts w:ascii="Times New Roman" w:eastAsia="Times New Roman" w:hAnsi="Times New Roman" w:cs="Times New Roman"/>
          <w:lang w:eastAsia="et-EE"/>
        </w:rPr>
        <w:t xml:space="preserve">Komisjon teeb ettepaneku arutada võimalikke lahendusi </w:t>
      </w:r>
      <w:r w:rsidR="00C74033">
        <w:rPr>
          <w:rFonts w:ascii="Times New Roman" w:eastAsia="Times New Roman" w:hAnsi="Times New Roman" w:cs="Times New Roman"/>
          <w:lang w:eastAsia="et-EE"/>
        </w:rPr>
        <w:t>hematoloogide ja tootjaga</w:t>
      </w:r>
      <w:r w:rsidR="009A76CF">
        <w:rPr>
          <w:rFonts w:ascii="Times New Roman" w:eastAsia="Times New Roman" w:hAnsi="Times New Roman" w:cs="Times New Roman"/>
          <w:lang w:eastAsia="et-EE"/>
        </w:rPr>
        <w:t xml:space="preserve">. </w:t>
      </w:r>
      <w:r w:rsidR="00EB7616">
        <w:rPr>
          <w:rFonts w:ascii="Times New Roman" w:eastAsia="Times New Roman" w:hAnsi="Times New Roman" w:cs="Times New Roman"/>
          <w:lang w:eastAsia="et-EE"/>
        </w:rPr>
        <w:t xml:space="preserve"> </w:t>
      </w:r>
    </w:p>
    <w:p w14:paraId="1B3A4DD2" w14:textId="77777777" w:rsidR="00B13BDD" w:rsidRDefault="00840BEF" w:rsidP="003C5E0B">
      <w:pPr>
        <w:spacing w:before="120" w:after="120" w:line="269" w:lineRule="auto"/>
        <w:jc w:val="both"/>
        <w:rPr>
          <w:rFonts w:ascii="Times New Roman" w:eastAsia="Times New Roman" w:hAnsi="Times New Roman" w:cs="Times New Roman"/>
          <w:b/>
          <w:u w:val="single"/>
        </w:rPr>
      </w:pPr>
      <w:r w:rsidRPr="004F1313">
        <w:rPr>
          <w:rFonts w:ascii="Times New Roman" w:eastAsia="Times New Roman" w:hAnsi="Times New Roman" w:cs="Times New Roman"/>
          <w:b/>
          <w:u w:val="single"/>
        </w:rPr>
        <w:t>Komisjoni arvamus (ühehäälne)</w:t>
      </w:r>
    </w:p>
    <w:p w14:paraId="26C843C9" w14:textId="77777777" w:rsidR="008B6D49" w:rsidRDefault="00B9654F" w:rsidP="003C5E0B">
      <w:pPr>
        <w:spacing w:before="120" w:after="120" w:line="269" w:lineRule="auto"/>
        <w:jc w:val="both"/>
        <w:rPr>
          <w:rFonts w:ascii="Times New Roman" w:eastAsia="Times New Roman" w:hAnsi="Times New Roman" w:cs="Times New Roman"/>
        </w:rPr>
      </w:pPr>
      <w:r>
        <w:rPr>
          <w:rFonts w:ascii="Times New Roman" w:eastAsia="Times New Roman" w:hAnsi="Times New Roman" w:cs="Times New Roman"/>
        </w:rPr>
        <w:t>Komisjon soovitab haigekassa juhatusel taotlust pakutud hinnaga mitte rahuldada</w:t>
      </w:r>
      <w:r w:rsidR="008B6D49">
        <w:rPr>
          <w:rFonts w:ascii="Times New Roman" w:eastAsia="Times New Roman" w:hAnsi="Times New Roman" w:cs="Times New Roman"/>
        </w:rPr>
        <w:t>.</w:t>
      </w:r>
      <w:r>
        <w:rPr>
          <w:rFonts w:ascii="Times New Roman" w:eastAsia="Times New Roman" w:hAnsi="Times New Roman" w:cs="Times New Roman"/>
        </w:rPr>
        <w:t xml:space="preserve"> </w:t>
      </w:r>
    </w:p>
    <w:p w14:paraId="6BDD4F55" w14:textId="77777777" w:rsidR="003C5E0B" w:rsidRPr="003C5E0B" w:rsidRDefault="008B6D49" w:rsidP="003C5E0B">
      <w:pPr>
        <w:spacing w:before="120" w:after="120" w:line="269" w:lineRule="auto"/>
        <w:jc w:val="both"/>
        <w:rPr>
          <w:rFonts w:ascii="Times New Roman" w:eastAsia="Times New Roman" w:hAnsi="Times New Roman" w:cs="Times New Roman"/>
        </w:rPr>
      </w:pPr>
      <w:r>
        <w:rPr>
          <w:rFonts w:ascii="Times New Roman" w:eastAsia="Times New Roman" w:hAnsi="Times New Roman" w:cs="Times New Roman"/>
        </w:rPr>
        <w:t>Komisjon</w:t>
      </w:r>
      <w:r w:rsidR="003C5E0B" w:rsidRPr="003C5E0B">
        <w:rPr>
          <w:rFonts w:ascii="Times New Roman" w:eastAsia="Times New Roman" w:hAnsi="Times New Roman" w:cs="Times New Roman"/>
        </w:rPr>
        <w:t xml:space="preserve"> </w:t>
      </w:r>
      <w:r>
        <w:rPr>
          <w:rFonts w:ascii="Times New Roman" w:eastAsia="Times New Roman" w:hAnsi="Times New Roman" w:cs="Times New Roman"/>
        </w:rPr>
        <w:t xml:space="preserve">teeb ettepaneku </w:t>
      </w:r>
      <w:r w:rsidR="00B9654F">
        <w:rPr>
          <w:rFonts w:ascii="Times New Roman" w:eastAsia="Times New Roman" w:hAnsi="Times New Roman" w:cs="Times New Roman"/>
        </w:rPr>
        <w:t>a</w:t>
      </w:r>
      <w:r w:rsidR="003C5E0B" w:rsidRPr="003C5E0B">
        <w:rPr>
          <w:rFonts w:ascii="Times New Roman" w:eastAsia="Times New Roman" w:hAnsi="Times New Roman" w:cs="Times New Roman"/>
        </w:rPr>
        <w:t xml:space="preserve">rutada </w:t>
      </w:r>
      <w:r w:rsidR="00B9654F">
        <w:rPr>
          <w:rFonts w:ascii="Times New Roman" w:eastAsia="Times New Roman" w:hAnsi="Times New Roman" w:cs="Times New Roman"/>
        </w:rPr>
        <w:t xml:space="preserve">hematoloogide ja tootjaga alternatiivseid lahendusi, mis võimaldaksid maandada </w:t>
      </w:r>
      <w:r w:rsidR="00131D9C">
        <w:rPr>
          <w:rFonts w:ascii="Times New Roman" w:eastAsia="Times New Roman" w:hAnsi="Times New Roman" w:cs="Times New Roman"/>
        </w:rPr>
        <w:t xml:space="preserve">kliinilise efektiivsuse hinnangu ja patsientide hulga prognoosi ebakindlusest tingitud </w:t>
      </w:r>
      <w:r w:rsidR="00B9654F">
        <w:rPr>
          <w:rFonts w:ascii="Times New Roman" w:eastAsia="Times New Roman" w:hAnsi="Times New Roman" w:cs="Times New Roman"/>
        </w:rPr>
        <w:t xml:space="preserve">majanduslikke riske. </w:t>
      </w:r>
    </w:p>
    <w:p w14:paraId="24395D80" w14:textId="77777777" w:rsidR="00DA3791" w:rsidRPr="0066219C" w:rsidRDefault="00EF30FB" w:rsidP="008E7F33">
      <w:pPr>
        <w:pBdr>
          <w:top w:val="single" w:sz="24" w:space="0" w:color="4F81BD"/>
          <w:left w:val="single" w:sz="24" w:space="0" w:color="4F81BD"/>
          <w:bottom w:val="single" w:sz="24" w:space="0" w:color="4F81BD"/>
          <w:right w:val="single" w:sz="24" w:space="0" w:color="4F81BD"/>
        </w:pBdr>
        <w:shd w:val="clear" w:color="auto" w:fill="4F81BD"/>
        <w:spacing w:after="0" w:line="269" w:lineRule="auto"/>
        <w:jc w:val="both"/>
        <w:outlineLvl w:val="0"/>
        <w:rPr>
          <w:rFonts w:ascii="Times New Roman" w:eastAsia="Times New Roman" w:hAnsi="Times New Roman" w:cs="Times New Roman"/>
          <w:b/>
          <w:bCs/>
          <w:caps/>
          <w:spacing w:val="15"/>
        </w:rPr>
      </w:pPr>
      <w:r>
        <w:rPr>
          <w:rFonts w:ascii="Times New Roman" w:eastAsia="Times New Roman" w:hAnsi="Times New Roman" w:cs="Times New Roman"/>
          <w:b/>
          <w:bCs/>
          <w:caps/>
          <w:color w:val="FFFFFF"/>
          <w:spacing w:val="15"/>
        </w:rPr>
        <w:t>2</w:t>
      </w:r>
      <w:r w:rsidR="00194E19">
        <w:rPr>
          <w:rFonts w:ascii="Times New Roman" w:eastAsia="Times New Roman" w:hAnsi="Times New Roman" w:cs="Times New Roman"/>
          <w:b/>
          <w:bCs/>
          <w:caps/>
          <w:color w:val="FFFFFF"/>
          <w:spacing w:val="15"/>
        </w:rPr>
        <w:t>. VINORELBIIN</w:t>
      </w:r>
    </w:p>
    <w:p w14:paraId="47C4C773" w14:textId="77777777" w:rsidR="00015287" w:rsidRDefault="00DA3791" w:rsidP="000540F1">
      <w:pPr>
        <w:pStyle w:val="Normaallaadveeb"/>
        <w:kinsoku w:val="0"/>
        <w:overflowPunct w:val="0"/>
        <w:spacing w:before="120" w:beforeAutospacing="0" w:after="120" w:afterAutospacing="0" w:line="269" w:lineRule="auto"/>
        <w:jc w:val="both"/>
        <w:textAlignment w:val="baseline"/>
        <w:rPr>
          <w:rFonts w:eastAsiaTheme="minorEastAsia"/>
          <w:sz w:val="22"/>
          <w:szCs w:val="22"/>
        </w:rPr>
      </w:pPr>
      <w:r w:rsidRPr="00FE35A0">
        <w:rPr>
          <w:rFonts w:eastAsiaTheme="minorEastAsia"/>
          <w:b/>
          <w:bCs/>
          <w:sz w:val="22"/>
          <w:szCs w:val="22"/>
        </w:rPr>
        <w:t>Taotlus:</w:t>
      </w:r>
      <w:r w:rsidRPr="001E543E">
        <w:rPr>
          <w:rFonts w:eastAsiaTheme="minorEastAsia"/>
          <w:b/>
          <w:bCs/>
          <w:sz w:val="22"/>
          <w:szCs w:val="22"/>
        </w:rPr>
        <w:t xml:space="preserve"> </w:t>
      </w:r>
      <w:r w:rsidR="004123DA">
        <w:rPr>
          <w:rFonts w:eastAsiaTheme="minorEastAsia"/>
          <w:sz w:val="22"/>
          <w:szCs w:val="22"/>
        </w:rPr>
        <w:t>taotletakse ravimi soodustamist kahel näidustusel:</w:t>
      </w:r>
    </w:p>
    <w:p w14:paraId="63245959" w14:textId="77777777" w:rsidR="004123DA" w:rsidRPr="00FE35A0" w:rsidRDefault="004123DA" w:rsidP="000540F1">
      <w:pPr>
        <w:pStyle w:val="Normaallaadveeb"/>
        <w:numPr>
          <w:ilvl w:val="0"/>
          <w:numId w:val="19"/>
        </w:numPr>
        <w:kinsoku w:val="0"/>
        <w:overflowPunct w:val="0"/>
        <w:spacing w:before="120" w:beforeAutospacing="0" w:after="120" w:afterAutospacing="0" w:line="269" w:lineRule="auto"/>
        <w:jc w:val="both"/>
        <w:textAlignment w:val="baseline"/>
        <w:rPr>
          <w:rFonts w:eastAsiaTheme="minorEastAsia"/>
          <w:b/>
          <w:sz w:val="22"/>
          <w:szCs w:val="22"/>
          <w:u w:val="single"/>
        </w:rPr>
      </w:pPr>
      <w:r w:rsidRPr="00FE35A0">
        <w:rPr>
          <w:rFonts w:eastAsiaTheme="minorEastAsia"/>
          <w:b/>
          <w:sz w:val="22"/>
          <w:szCs w:val="22"/>
          <w:u w:val="single"/>
        </w:rPr>
        <w:t>100% rinna pahaloomulise kasvaja raviks;</w:t>
      </w:r>
    </w:p>
    <w:p w14:paraId="04848B9E" w14:textId="77777777" w:rsidR="004123DA" w:rsidRPr="001E543E" w:rsidRDefault="004123DA" w:rsidP="000540F1">
      <w:pPr>
        <w:pStyle w:val="Normaallaadveeb"/>
        <w:numPr>
          <w:ilvl w:val="0"/>
          <w:numId w:val="19"/>
        </w:numPr>
        <w:kinsoku w:val="0"/>
        <w:overflowPunct w:val="0"/>
        <w:spacing w:before="120" w:beforeAutospacing="0" w:after="120" w:afterAutospacing="0" w:line="269" w:lineRule="auto"/>
        <w:jc w:val="both"/>
        <w:textAlignment w:val="baseline"/>
        <w:rPr>
          <w:rFonts w:eastAsiaTheme="minorEastAsia"/>
          <w:sz w:val="22"/>
          <w:szCs w:val="22"/>
        </w:rPr>
      </w:pPr>
      <w:r>
        <w:rPr>
          <w:rFonts w:eastAsiaTheme="minorEastAsia"/>
          <w:sz w:val="22"/>
          <w:szCs w:val="22"/>
        </w:rPr>
        <w:t xml:space="preserve">100% miteväikerakk-kopsuvähi raviks. </w:t>
      </w:r>
    </w:p>
    <w:p w14:paraId="6BECEF88" w14:textId="77777777" w:rsidR="00614D87" w:rsidRPr="00165447" w:rsidRDefault="00C56832" w:rsidP="000540F1">
      <w:pPr>
        <w:pStyle w:val="Normaallaadveeb"/>
        <w:spacing w:before="120" w:beforeAutospacing="0" w:after="120" w:afterAutospacing="0" w:line="269" w:lineRule="auto"/>
        <w:rPr>
          <w:rFonts w:eastAsiaTheme="minorEastAsia"/>
          <w:b/>
          <w:bCs/>
          <w:sz w:val="22"/>
          <w:szCs w:val="22"/>
        </w:rPr>
      </w:pPr>
      <w:r w:rsidRPr="00165447">
        <w:rPr>
          <w:rFonts w:eastAsiaTheme="minorEastAsia"/>
          <w:b/>
          <w:bCs/>
          <w:sz w:val="22"/>
          <w:szCs w:val="22"/>
        </w:rPr>
        <w:t>Praegu tervishoiuteenuste (228R ja 229R) või soodusravimite loetelu raames hüvitatav</w:t>
      </w:r>
      <w:r w:rsidR="0020108E" w:rsidRPr="00165447">
        <w:rPr>
          <w:rFonts w:eastAsiaTheme="minorEastAsia"/>
          <w:b/>
          <w:bCs/>
          <w:sz w:val="22"/>
          <w:szCs w:val="22"/>
        </w:rPr>
        <w:t xml:space="preserve"> rinna pahaloomulise kasvaja näidustusel</w:t>
      </w:r>
      <w:r w:rsidRPr="00165447">
        <w:rPr>
          <w:rFonts w:eastAsiaTheme="minorEastAsia"/>
          <w:b/>
          <w:bCs/>
          <w:sz w:val="22"/>
          <w:szCs w:val="22"/>
        </w:rPr>
        <w:t>:</w:t>
      </w:r>
    </w:p>
    <w:p w14:paraId="7BAE2B04" w14:textId="77777777" w:rsidR="00614D87" w:rsidRPr="00CB158C" w:rsidRDefault="00614D87" w:rsidP="003536CC">
      <w:pPr>
        <w:pStyle w:val="Normaallaadveeb"/>
        <w:spacing w:before="120" w:beforeAutospacing="0" w:after="120" w:afterAutospacing="0" w:line="269" w:lineRule="auto"/>
        <w:jc w:val="both"/>
        <w:rPr>
          <w:rFonts w:eastAsiaTheme="minorEastAsia"/>
          <w:b/>
          <w:bCs/>
          <w:sz w:val="22"/>
          <w:szCs w:val="22"/>
        </w:rPr>
      </w:pPr>
      <w:r w:rsidRPr="00CB158C">
        <w:rPr>
          <w:rFonts w:eastAsiaTheme="minorEastAsia"/>
          <w:bCs/>
          <w:sz w:val="22"/>
          <w:szCs w:val="22"/>
        </w:rPr>
        <w:t>Rinnakasvaja HER2-blokaadi mittesisaldav kemoteraapia, 3-nädalane ravikuur (gosereliin ja fulvestrant monoteraapia 4-nädalane ravikuur) (kood 228R) sisaldab järgmisi raviskeeme:</w:t>
      </w:r>
      <w:r w:rsidRPr="00CB158C">
        <w:rPr>
          <w:rFonts w:eastAsiaTheme="minorEastAsia"/>
          <w:bCs/>
          <w:sz w:val="22"/>
          <w:szCs w:val="22"/>
        </w:rPr>
        <w:br/>
      </w:r>
      <w:bookmarkStart w:id="2" w:name="para60lg5p1"/>
      <w:r w:rsidRPr="00CB158C">
        <w:rPr>
          <w:rFonts w:eastAsiaTheme="minorEastAsia"/>
          <w:bCs/>
          <w:sz w:val="22"/>
          <w:szCs w:val="22"/>
        </w:rPr>
        <w:t> </w:t>
      </w:r>
      <w:bookmarkEnd w:id="2"/>
      <w:r w:rsidRPr="00CB158C">
        <w:rPr>
          <w:rFonts w:eastAsiaTheme="minorEastAsia"/>
          <w:bCs/>
          <w:sz w:val="22"/>
          <w:szCs w:val="22"/>
        </w:rPr>
        <w:t>1) antratsükliinravi adjuvantkeemiaravina ja kaugelearenenud rinnavähi keemiaravina, kui patsient pole saanud adjuvantravis antratsükliine või adjuvantravist on möödas üle ühe aasta;</w:t>
      </w:r>
      <w:r w:rsidRPr="00CB158C">
        <w:rPr>
          <w:rFonts w:eastAsiaTheme="minorEastAsia"/>
          <w:bCs/>
          <w:sz w:val="22"/>
          <w:szCs w:val="22"/>
        </w:rPr>
        <w:br/>
      </w:r>
      <w:bookmarkStart w:id="3" w:name="para60lg5p2"/>
      <w:r w:rsidRPr="00CB158C">
        <w:rPr>
          <w:rFonts w:eastAsiaTheme="minorEastAsia"/>
          <w:bCs/>
          <w:sz w:val="22"/>
          <w:szCs w:val="22"/>
        </w:rPr>
        <w:t> </w:t>
      </w:r>
      <w:bookmarkEnd w:id="3"/>
      <w:r w:rsidRPr="00CB158C">
        <w:rPr>
          <w:rFonts w:eastAsiaTheme="minorEastAsia"/>
          <w:bCs/>
          <w:sz w:val="22"/>
          <w:szCs w:val="22"/>
        </w:rPr>
        <w:t>2) CMF kombinatsioonravi adjuvantkeemiaravina ja kaugelearenenud rinnavähi keemiaravina, kui patsiendil on ravi antratsükliinidega vastunäidustatud ning haigus on hea kuluga;</w:t>
      </w:r>
      <w:r w:rsidRPr="00CB158C">
        <w:rPr>
          <w:rFonts w:eastAsiaTheme="minorEastAsia"/>
          <w:bCs/>
          <w:sz w:val="22"/>
          <w:szCs w:val="22"/>
        </w:rPr>
        <w:br/>
      </w:r>
      <w:bookmarkStart w:id="4" w:name="para60lg5p3"/>
      <w:r w:rsidRPr="00CB158C">
        <w:rPr>
          <w:rFonts w:eastAsiaTheme="minorEastAsia"/>
          <w:bCs/>
          <w:sz w:val="22"/>
          <w:szCs w:val="22"/>
        </w:rPr>
        <w:t> </w:t>
      </w:r>
      <w:bookmarkEnd w:id="4"/>
      <w:r w:rsidRPr="00CB158C">
        <w:rPr>
          <w:rFonts w:eastAsiaTheme="minorEastAsia"/>
          <w:bCs/>
          <w:sz w:val="22"/>
          <w:szCs w:val="22"/>
        </w:rPr>
        <w:t>3) taksaani ja antratsükliini kombinatsioonravi regionaalsete metastaasidega kõrge riskiga haige adjuvantravis;</w:t>
      </w:r>
      <w:r w:rsidRPr="00CB158C">
        <w:rPr>
          <w:rFonts w:eastAsiaTheme="minorEastAsia"/>
          <w:bCs/>
          <w:sz w:val="22"/>
          <w:szCs w:val="22"/>
        </w:rPr>
        <w:br/>
      </w:r>
      <w:bookmarkStart w:id="5" w:name="para60lg5p4"/>
      <w:r w:rsidRPr="00CB158C">
        <w:rPr>
          <w:rFonts w:eastAsiaTheme="minorEastAsia"/>
          <w:bCs/>
          <w:sz w:val="22"/>
          <w:szCs w:val="22"/>
        </w:rPr>
        <w:t> </w:t>
      </w:r>
      <w:bookmarkEnd w:id="5"/>
      <w:r w:rsidRPr="00CB158C">
        <w:rPr>
          <w:rFonts w:eastAsiaTheme="minorEastAsia"/>
          <w:bCs/>
          <w:sz w:val="22"/>
          <w:szCs w:val="22"/>
        </w:rPr>
        <w:t>4) monoravi taksaaniga kaugelearenenud rinnavähiga patsiendil;</w:t>
      </w:r>
      <w:r w:rsidRPr="00CB158C">
        <w:rPr>
          <w:rFonts w:eastAsiaTheme="minorEastAsia"/>
          <w:bCs/>
          <w:sz w:val="22"/>
          <w:szCs w:val="22"/>
        </w:rPr>
        <w:br/>
      </w:r>
      <w:bookmarkStart w:id="6" w:name="para60lg5p5"/>
      <w:r w:rsidRPr="00CB158C">
        <w:rPr>
          <w:rFonts w:eastAsiaTheme="minorEastAsia"/>
          <w:bCs/>
          <w:sz w:val="22"/>
          <w:szCs w:val="22"/>
        </w:rPr>
        <w:t> </w:t>
      </w:r>
      <w:bookmarkEnd w:id="6"/>
      <w:r w:rsidRPr="00CB158C">
        <w:rPr>
          <w:rFonts w:eastAsiaTheme="minorEastAsia"/>
          <w:bCs/>
          <w:sz w:val="22"/>
          <w:szCs w:val="22"/>
        </w:rPr>
        <w:t>5) alternatiivina kemoteraapiale ravi gosereliiniga (kuni 24 süstet ühel patsiendil) pre- ja perimenopausis I ja II staadiumi hormoonsõltuva rinnavähiga patsiendil, kes kuulub keskmise riski gruppi (puuduvad regionaalsed metastaasid, kasvajakolde suurim läbimõõt on kuni 2 cm, diferentseerumisaste G1-G2, östrogeen- ja/või progesteroonretseptor positiivsed);</w:t>
      </w:r>
      <w:r w:rsidRPr="00CB158C">
        <w:rPr>
          <w:rFonts w:eastAsiaTheme="minorEastAsia"/>
          <w:bCs/>
          <w:sz w:val="22"/>
          <w:szCs w:val="22"/>
        </w:rPr>
        <w:br/>
      </w:r>
      <w:bookmarkStart w:id="7" w:name="para60lg5p6"/>
      <w:r w:rsidRPr="00CB158C">
        <w:rPr>
          <w:rFonts w:eastAsiaTheme="minorEastAsia"/>
          <w:bCs/>
          <w:sz w:val="22"/>
          <w:szCs w:val="22"/>
        </w:rPr>
        <w:t> </w:t>
      </w:r>
      <w:bookmarkEnd w:id="7"/>
      <w:r w:rsidRPr="00CB158C">
        <w:rPr>
          <w:rFonts w:eastAsiaTheme="minorEastAsia"/>
          <w:bCs/>
          <w:sz w:val="22"/>
          <w:szCs w:val="22"/>
        </w:rPr>
        <w:t>6) dotsetakseeli ja kapetsitabiini kombinatsioonravi metastaatilise rinnavähi 2. rea ravina pärast antratsükliine;</w:t>
      </w:r>
      <w:r w:rsidRPr="00CB158C">
        <w:rPr>
          <w:rFonts w:eastAsiaTheme="minorEastAsia"/>
          <w:bCs/>
          <w:sz w:val="22"/>
          <w:szCs w:val="22"/>
        </w:rPr>
        <w:br/>
      </w:r>
      <w:bookmarkStart w:id="8" w:name="para60lg5p7"/>
      <w:r w:rsidRPr="00CB158C">
        <w:rPr>
          <w:rFonts w:eastAsiaTheme="minorEastAsia"/>
          <w:bCs/>
          <w:sz w:val="22"/>
          <w:szCs w:val="22"/>
        </w:rPr>
        <w:t> </w:t>
      </w:r>
      <w:bookmarkEnd w:id="8"/>
      <w:r w:rsidRPr="00CB158C">
        <w:rPr>
          <w:rFonts w:eastAsiaTheme="minorEastAsia"/>
          <w:bCs/>
          <w:sz w:val="22"/>
          <w:szCs w:val="22"/>
        </w:rPr>
        <w:t xml:space="preserve">7) eribuliini monoravi 3. rea keemiaravina paikselt kaugelearenenud või metastaatilise rinnavähiga </w:t>
      </w:r>
      <w:r w:rsidRPr="00CB158C">
        <w:rPr>
          <w:rFonts w:eastAsiaTheme="minorEastAsia"/>
          <w:bCs/>
          <w:sz w:val="22"/>
          <w:szCs w:val="22"/>
        </w:rPr>
        <w:lastRenderedPageBreak/>
        <w:t>patsiendil, kelle haigus on progresseerunud pärast vähemalt kaht kaugelearenenud haiguse keemiaraviskeemi kuni järgneva progresseerumiseni. Varasem ravi peab olema sisaldanud mõnda antratsükliini ja taksaani, välja arvatud juhud, kui need on vastunäidustatud;</w:t>
      </w:r>
      <w:r w:rsidRPr="00CB158C">
        <w:rPr>
          <w:rFonts w:eastAsiaTheme="minorEastAsia"/>
          <w:bCs/>
          <w:sz w:val="22"/>
          <w:szCs w:val="22"/>
        </w:rPr>
        <w:br/>
      </w:r>
      <w:bookmarkStart w:id="9" w:name="para60lg5p8"/>
      <w:r w:rsidRPr="00CB158C">
        <w:rPr>
          <w:rFonts w:eastAsiaTheme="minorEastAsia"/>
          <w:bCs/>
          <w:sz w:val="22"/>
          <w:szCs w:val="22"/>
        </w:rPr>
        <w:t> </w:t>
      </w:r>
      <w:bookmarkEnd w:id="9"/>
      <w:r w:rsidRPr="00CB158C">
        <w:rPr>
          <w:rFonts w:eastAsiaTheme="minorEastAsia"/>
          <w:bCs/>
          <w:sz w:val="22"/>
          <w:szCs w:val="22"/>
        </w:rPr>
        <w:t>8) fulvestrandi monoravi postmenopausis östrogeenretseptorpositiivse lokaalselt levinud või metastaatilise rinnavähiga patsiendil 2. rea ravina pärast tamoksifeeni või aromataasi inhibiitorit.</w:t>
      </w:r>
    </w:p>
    <w:p w14:paraId="63B526F8" w14:textId="77777777" w:rsidR="00131D9C" w:rsidRDefault="00614D87" w:rsidP="00131D9C">
      <w:pPr>
        <w:pStyle w:val="Normaallaadveeb"/>
        <w:spacing w:before="120" w:beforeAutospacing="0" w:after="120" w:afterAutospacing="0" w:line="269" w:lineRule="auto"/>
        <w:jc w:val="both"/>
        <w:rPr>
          <w:rFonts w:eastAsiaTheme="minorEastAsia"/>
          <w:bCs/>
          <w:sz w:val="22"/>
          <w:szCs w:val="22"/>
        </w:rPr>
      </w:pPr>
      <w:r w:rsidRPr="00CB158C">
        <w:rPr>
          <w:rFonts w:eastAsiaTheme="minorEastAsia"/>
          <w:bCs/>
          <w:sz w:val="22"/>
          <w:szCs w:val="22"/>
        </w:rPr>
        <w:t>Rinnakasvaja HER2-blokaadi sisaldav kemoteraapia, 3-nädalane ravikuur (kood 229R) sisaldab järgmisi raviskeeme:</w:t>
      </w:r>
    </w:p>
    <w:p w14:paraId="37A4F54D" w14:textId="77777777" w:rsidR="00614D87" w:rsidRPr="00CB158C" w:rsidRDefault="00614D87" w:rsidP="00131D9C">
      <w:pPr>
        <w:pStyle w:val="Normaallaadveeb"/>
        <w:spacing w:before="120" w:beforeAutospacing="0" w:after="120" w:afterAutospacing="0" w:line="269" w:lineRule="auto"/>
        <w:jc w:val="both"/>
        <w:rPr>
          <w:rFonts w:eastAsiaTheme="minorEastAsia"/>
          <w:b/>
          <w:bCs/>
          <w:sz w:val="22"/>
          <w:szCs w:val="22"/>
        </w:rPr>
      </w:pPr>
      <w:bookmarkStart w:id="10" w:name="para60lg6p1"/>
      <w:r w:rsidRPr="00CB158C">
        <w:rPr>
          <w:rFonts w:eastAsiaTheme="minorEastAsia"/>
          <w:bCs/>
          <w:sz w:val="22"/>
          <w:szCs w:val="22"/>
        </w:rPr>
        <w:t> </w:t>
      </w:r>
      <w:bookmarkEnd w:id="10"/>
      <w:r w:rsidRPr="00CB158C">
        <w:rPr>
          <w:rFonts w:eastAsiaTheme="minorEastAsia"/>
          <w:bCs/>
          <w:sz w:val="22"/>
          <w:szCs w:val="22"/>
        </w:rPr>
        <w:t>1) trastuzumab kombinatsioonis taksaaniga või monoteraapiana rinnavähiga patsiendil, kui kasvajal esineb HER2 üleekspressioon (3+ immunohistokeemilisel uuringul või FISH-positiivsed);</w:t>
      </w:r>
      <w:r w:rsidRPr="00CB158C">
        <w:rPr>
          <w:rFonts w:eastAsiaTheme="minorEastAsia"/>
          <w:bCs/>
          <w:sz w:val="22"/>
          <w:szCs w:val="22"/>
        </w:rPr>
        <w:br/>
      </w:r>
      <w:bookmarkStart w:id="11" w:name="para60lg6p2"/>
      <w:r w:rsidRPr="00CB158C">
        <w:rPr>
          <w:rFonts w:eastAsiaTheme="minorEastAsia"/>
          <w:bCs/>
          <w:sz w:val="22"/>
          <w:szCs w:val="22"/>
        </w:rPr>
        <w:t> </w:t>
      </w:r>
      <w:bookmarkEnd w:id="11"/>
      <w:r w:rsidRPr="00CB158C">
        <w:rPr>
          <w:rFonts w:eastAsiaTheme="minorEastAsia"/>
          <w:bCs/>
          <w:sz w:val="22"/>
          <w:szCs w:val="22"/>
        </w:rPr>
        <w:t>2) pertuzumab kombinatsioonis trastuzumabi ja dotsetakseeliga metastaatilise rinnavähi raviks kuni haiguse progresseerumiseni, kui kasvajal esineb HER2 üleekspressioon (3+ immunohistokeemilisel uuringul või FISH-positiivsed) heas üldseisundis (ECOG 0-1) vistseraalsete metastaasidega patsiendil, kes ei ole varem saanud HER2-vastast ravi või kemoteraapiat metastaatilise haiguse tõttu;</w:t>
      </w:r>
      <w:r w:rsidRPr="00CB158C">
        <w:rPr>
          <w:rFonts w:eastAsiaTheme="minorEastAsia"/>
          <w:bCs/>
          <w:sz w:val="22"/>
          <w:szCs w:val="22"/>
        </w:rPr>
        <w:br/>
      </w:r>
      <w:bookmarkStart w:id="12" w:name="para60lg6p3"/>
      <w:r w:rsidRPr="00CB158C">
        <w:rPr>
          <w:rFonts w:eastAsiaTheme="minorEastAsia"/>
          <w:bCs/>
          <w:sz w:val="22"/>
          <w:szCs w:val="22"/>
        </w:rPr>
        <w:t> </w:t>
      </w:r>
      <w:bookmarkEnd w:id="12"/>
      <w:r w:rsidRPr="00CB158C">
        <w:rPr>
          <w:rFonts w:eastAsiaTheme="minorEastAsia"/>
          <w:bCs/>
          <w:sz w:val="22"/>
          <w:szCs w:val="22"/>
        </w:rPr>
        <w:t>3) trastuzumabemtansiin monoteraapiana mitteresetseeritava lokaalselt kaugelearenenud või metastaatilise rinnanäärmevähi raviks kuni haiguse progresseerumiseni, kui kasvajal esineb HER2 üleekspressioon (3+ immunohistokeemilisel uuringul või FISH-positiivsed), täiskasvanud patsiendil, kes on eelnevalt saanud trastuzumabi ja taksaani kas eraldi või kombineeritult. Patsient peab olema saanud eelnevat ravi lokaalselt kaugelearenenud või metastaatilise haiguse tõttu või patsiendil peab olema tekkinud haiguse retsidiiv trastuzumab-adjuvantravi ajal või kuue kuu jooksul pärast selle lõppu, seejuures ei tohi patsient olla saanud eelnevat ravi pertuzumabiga.</w:t>
      </w:r>
    </w:p>
    <w:p w14:paraId="4E635274" w14:textId="77777777" w:rsidR="00C56832" w:rsidRPr="00CB158C" w:rsidRDefault="00614D87" w:rsidP="003536CC">
      <w:pPr>
        <w:pStyle w:val="Normaallaadveeb"/>
        <w:spacing w:before="120" w:beforeAutospacing="0" w:after="120" w:afterAutospacing="0" w:line="269" w:lineRule="auto"/>
        <w:jc w:val="both"/>
        <w:rPr>
          <w:rFonts w:eastAsiaTheme="minorEastAsia"/>
          <w:bCs/>
          <w:sz w:val="22"/>
          <w:szCs w:val="22"/>
        </w:rPr>
      </w:pPr>
      <w:r w:rsidRPr="00CB158C">
        <w:rPr>
          <w:rFonts w:eastAsiaTheme="minorEastAsia"/>
          <w:bCs/>
          <w:sz w:val="22"/>
          <w:szCs w:val="22"/>
        </w:rPr>
        <w:t>Soodusravimite loetelu kaudu on 100% soodusmääraga</w:t>
      </w:r>
      <w:r w:rsidR="00A063D9" w:rsidRPr="00CB158C">
        <w:rPr>
          <w:rFonts w:eastAsiaTheme="minorEastAsia"/>
          <w:bCs/>
          <w:sz w:val="22"/>
          <w:szCs w:val="22"/>
        </w:rPr>
        <w:t xml:space="preserve"> C50 näidustusel</w:t>
      </w:r>
      <w:r w:rsidRPr="00CB158C">
        <w:rPr>
          <w:rFonts w:eastAsiaTheme="minorEastAsia"/>
          <w:bCs/>
          <w:sz w:val="22"/>
          <w:szCs w:val="22"/>
        </w:rPr>
        <w:t xml:space="preserve"> hüvitatavad toimeained</w:t>
      </w:r>
      <w:r w:rsidR="00DA4194" w:rsidRPr="00CB158C">
        <w:rPr>
          <w:rFonts w:eastAsiaTheme="minorEastAsia"/>
          <w:bCs/>
          <w:sz w:val="22"/>
          <w:szCs w:val="22"/>
        </w:rPr>
        <w:t xml:space="preserve"> </w:t>
      </w:r>
      <w:r w:rsidR="00210B90" w:rsidRPr="00CB158C">
        <w:rPr>
          <w:rFonts w:eastAsiaTheme="minorEastAsia"/>
          <w:bCs/>
          <w:sz w:val="22"/>
          <w:szCs w:val="22"/>
        </w:rPr>
        <w:t>etoposiid, medroksüprogesteroon, tamoksifeen, anastrasool, letrosool, eksemestaan, deksametasoon ja prednisoloon.</w:t>
      </w:r>
    </w:p>
    <w:p w14:paraId="535F10EB" w14:textId="77777777" w:rsidR="00840BEF" w:rsidRPr="001E543E" w:rsidRDefault="00840BEF" w:rsidP="0020108E">
      <w:pPr>
        <w:spacing w:before="120" w:after="120" w:line="269" w:lineRule="auto"/>
        <w:jc w:val="both"/>
        <w:rPr>
          <w:rFonts w:ascii="Times New Roman" w:eastAsia="Times New Roman" w:hAnsi="Times New Roman" w:cs="Times New Roman"/>
          <w:b/>
          <w:bCs/>
          <w:u w:val="single"/>
          <w:lang w:eastAsia="et-EE"/>
        </w:rPr>
      </w:pPr>
      <w:r w:rsidRPr="001E543E">
        <w:rPr>
          <w:rFonts w:ascii="Times New Roman" w:eastAsia="Times New Roman" w:hAnsi="Times New Roman" w:cs="Times New Roman"/>
          <w:b/>
          <w:bCs/>
          <w:u w:val="single"/>
          <w:lang w:eastAsia="et-EE"/>
        </w:rPr>
        <w:t>Taotluse hindamine RaKS kriteeriumide alusel</w:t>
      </w:r>
    </w:p>
    <w:p w14:paraId="0118ECFA" w14:textId="77777777" w:rsidR="00840BEF" w:rsidRPr="001E543E" w:rsidRDefault="00840BEF" w:rsidP="0020108E">
      <w:pPr>
        <w:spacing w:before="120" w:after="120" w:line="269" w:lineRule="auto"/>
        <w:jc w:val="both"/>
        <w:rPr>
          <w:rFonts w:ascii="Times New Roman" w:eastAsia="Calibri" w:hAnsi="Times New Roman" w:cs="Times New Roman"/>
          <w:b/>
          <w:lang w:eastAsia="et-EE"/>
        </w:rPr>
      </w:pPr>
      <w:r w:rsidRPr="001E543E">
        <w:rPr>
          <w:rFonts w:ascii="Times New Roman" w:eastAsia="Calibri" w:hAnsi="Times New Roman" w:cs="Times New Roman"/>
          <w:b/>
          <w:lang w:eastAsia="et-EE"/>
        </w:rPr>
        <w:t>Isiku vajadus saada ravimit tulenevalt tervishoiuteenuse osutamisest:</w:t>
      </w:r>
    </w:p>
    <w:p w14:paraId="3447F1FC" w14:textId="77777777" w:rsidR="00693876" w:rsidRPr="00693876" w:rsidRDefault="00693876" w:rsidP="0020108E">
      <w:pPr>
        <w:spacing w:before="120" w:after="120" w:line="269" w:lineRule="auto"/>
        <w:jc w:val="both"/>
        <w:rPr>
          <w:rFonts w:ascii="Times New Roman" w:eastAsiaTheme="minorEastAsia" w:hAnsi="Times New Roman" w:cs="Times New Roman"/>
          <w:lang w:eastAsia="et-EE"/>
        </w:rPr>
      </w:pPr>
      <w:r w:rsidRPr="00693876">
        <w:rPr>
          <w:rFonts w:ascii="Times New Roman" w:eastAsiaTheme="minorEastAsia" w:hAnsi="Times New Roman" w:cs="Times New Roman"/>
          <w:lang w:eastAsia="et-EE"/>
        </w:rPr>
        <w:t>Kaugelearenenud rinnavähk jaguneb lokaalseks kaugelearenenud rinnavähiks ja metastaseerunud rinnavähiks. Metastaseerunud rinnavähiga haigete elulemuse mediaan on vaid 2</w:t>
      </w:r>
      <w:r w:rsidR="00EF4360">
        <w:rPr>
          <w:rFonts w:ascii="Times New Roman" w:eastAsiaTheme="minorEastAsia" w:hAnsi="Times New Roman" w:cs="Times New Roman"/>
          <w:lang w:eastAsia="et-EE"/>
        </w:rPr>
        <w:t xml:space="preserve"> </w:t>
      </w:r>
      <w:r w:rsidRPr="00693876">
        <w:rPr>
          <w:rFonts w:ascii="Times New Roman" w:eastAsiaTheme="minorEastAsia" w:hAnsi="Times New Roman" w:cs="Times New Roman"/>
          <w:lang w:eastAsia="et-EE"/>
        </w:rPr>
        <w:t>-</w:t>
      </w:r>
      <w:r w:rsidR="00EF4360">
        <w:rPr>
          <w:rFonts w:ascii="Times New Roman" w:eastAsiaTheme="minorEastAsia" w:hAnsi="Times New Roman" w:cs="Times New Roman"/>
          <w:lang w:eastAsia="et-EE"/>
        </w:rPr>
        <w:t xml:space="preserve"> </w:t>
      </w:r>
      <w:r w:rsidRPr="00693876">
        <w:rPr>
          <w:rFonts w:ascii="Times New Roman" w:eastAsiaTheme="minorEastAsia" w:hAnsi="Times New Roman" w:cs="Times New Roman"/>
          <w:lang w:eastAsia="et-EE"/>
        </w:rPr>
        <w:t>3 aastat ja 5 aasta elulemus umbes 25%. Viimastel aastatel pole kahjuks saavutatud suurt edu selle grupi haigete ravitulemustes, samuti põhinevad ravijuhendi soovitused suhteliselt nõrgal tõendus</w:t>
      </w:r>
      <w:r w:rsidR="00131D9C">
        <w:rPr>
          <w:rFonts w:ascii="Times New Roman" w:eastAsiaTheme="minorEastAsia" w:hAnsi="Times New Roman" w:cs="Times New Roman"/>
          <w:lang w:eastAsia="et-EE"/>
        </w:rPr>
        <w:t>el</w:t>
      </w:r>
      <w:r w:rsidR="00EF4360">
        <w:rPr>
          <w:rStyle w:val="Allmrkuseviide"/>
          <w:rFonts w:ascii="Times New Roman" w:eastAsiaTheme="minorEastAsia" w:hAnsi="Times New Roman" w:cs="Times New Roman"/>
          <w:lang w:eastAsia="et-EE"/>
        </w:rPr>
        <w:footnoteReference w:id="1"/>
      </w:r>
      <w:r w:rsidRPr="00693876">
        <w:rPr>
          <w:rFonts w:ascii="Times New Roman" w:eastAsiaTheme="minorEastAsia" w:hAnsi="Times New Roman" w:cs="Times New Roman"/>
          <w:lang w:eastAsia="et-EE"/>
        </w:rPr>
        <w:t xml:space="preserve">. </w:t>
      </w:r>
    </w:p>
    <w:p w14:paraId="471B2F1C" w14:textId="77777777" w:rsidR="00405087" w:rsidRDefault="00693876" w:rsidP="0020108E">
      <w:pPr>
        <w:spacing w:before="120" w:after="120" w:line="269" w:lineRule="auto"/>
        <w:jc w:val="both"/>
        <w:rPr>
          <w:rFonts w:ascii="Times New Roman" w:eastAsiaTheme="minorEastAsia" w:hAnsi="Times New Roman" w:cs="Times New Roman"/>
          <w:lang w:eastAsia="et-EE"/>
        </w:rPr>
      </w:pPr>
      <w:r w:rsidRPr="00693876">
        <w:rPr>
          <w:rFonts w:ascii="Times New Roman" w:eastAsiaTheme="minorEastAsia" w:hAnsi="Times New Roman" w:cs="Times New Roman"/>
          <w:lang w:eastAsia="et-EE"/>
        </w:rPr>
        <w:t>Eesti Vähiregistri andmetel oli Eestis 2015</w:t>
      </w:r>
      <w:r w:rsidR="00131D9C">
        <w:rPr>
          <w:rFonts w:ascii="Times New Roman" w:eastAsiaTheme="minorEastAsia" w:hAnsi="Times New Roman" w:cs="Times New Roman"/>
          <w:lang w:eastAsia="et-EE"/>
        </w:rPr>
        <w:t>.</w:t>
      </w:r>
      <w:r w:rsidRPr="00693876">
        <w:rPr>
          <w:rFonts w:ascii="Times New Roman" w:eastAsiaTheme="minorEastAsia" w:hAnsi="Times New Roman" w:cs="Times New Roman"/>
          <w:lang w:eastAsia="et-EE"/>
        </w:rPr>
        <w:t xml:space="preserve"> aastal 754 rinnavähi esmasjuhtu</w:t>
      </w:r>
      <w:r w:rsidR="00405087">
        <w:rPr>
          <w:rFonts w:ascii="Times New Roman" w:eastAsiaTheme="minorEastAsia" w:hAnsi="Times New Roman" w:cs="Times New Roman"/>
          <w:lang w:eastAsia="et-EE"/>
        </w:rPr>
        <w:t xml:space="preserve">. Taotleja prognoosib patsientide arvuks järgneval kolmel aastal vastavalt 8, 15 ja 25 patsienti. </w:t>
      </w:r>
    </w:p>
    <w:p w14:paraId="78EB0CFD" w14:textId="77777777" w:rsidR="00840BEF" w:rsidRPr="001E543E" w:rsidRDefault="00840BEF" w:rsidP="0020108E">
      <w:pPr>
        <w:spacing w:before="120" w:after="120" w:line="269" w:lineRule="auto"/>
        <w:jc w:val="both"/>
        <w:rPr>
          <w:rFonts w:ascii="Times New Roman" w:eastAsia="Calibri" w:hAnsi="Times New Roman" w:cs="Times New Roman"/>
          <w:b/>
          <w:lang w:eastAsia="et-EE"/>
        </w:rPr>
      </w:pPr>
      <w:r w:rsidRPr="001E543E">
        <w:rPr>
          <w:rFonts w:ascii="Times New Roman" w:eastAsia="Calibri" w:hAnsi="Times New Roman" w:cs="Times New Roman"/>
          <w:b/>
          <w:lang w:eastAsia="et-EE"/>
        </w:rPr>
        <w:t xml:space="preserve">Alternatiivsete ravimite või raviviiside olemasolu: </w:t>
      </w:r>
    </w:p>
    <w:p w14:paraId="6C5E36E6" w14:textId="77777777" w:rsidR="00437287" w:rsidRPr="001E543E" w:rsidRDefault="003133DC" w:rsidP="0020108E">
      <w:pPr>
        <w:spacing w:before="120" w:after="120" w:line="269" w:lineRule="auto"/>
        <w:jc w:val="both"/>
        <w:rPr>
          <w:rFonts w:ascii="Times New Roman" w:eastAsiaTheme="minorEastAsia" w:hAnsi="Times New Roman" w:cs="Times New Roman"/>
          <w:lang w:eastAsia="et-EE"/>
        </w:rPr>
      </w:pPr>
      <w:r>
        <w:rPr>
          <w:rFonts w:ascii="Times New Roman" w:eastAsiaTheme="minorEastAsia" w:hAnsi="Times New Roman" w:cs="Times New Roman"/>
          <w:lang w:eastAsia="et-EE"/>
        </w:rPr>
        <w:t>Tervishoiuteenuste ja soodusravimite loetelu</w:t>
      </w:r>
      <w:r w:rsidR="00E003C6">
        <w:rPr>
          <w:rFonts w:ascii="Times New Roman" w:eastAsiaTheme="minorEastAsia" w:hAnsi="Times New Roman" w:cs="Times New Roman"/>
          <w:lang w:eastAsia="et-EE"/>
        </w:rPr>
        <w:t xml:space="preserve"> kaudu</w:t>
      </w:r>
      <w:r>
        <w:rPr>
          <w:rFonts w:ascii="Times New Roman" w:eastAsiaTheme="minorEastAsia" w:hAnsi="Times New Roman" w:cs="Times New Roman"/>
          <w:lang w:eastAsia="et-EE"/>
        </w:rPr>
        <w:t xml:space="preserve"> hüvitatavad ravimid</w:t>
      </w:r>
      <w:r w:rsidR="001C781B">
        <w:rPr>
          <w:rFonts w:ascii="Times New Roman" w:eastAsiaTheme="minorEastAsia" w:hAnsi="Times New Roman" w:cs="Times New Roman"/>
          <w:lang w:eastAsia="et-EE"/>
        </w:rPr>
        <w:t xml:space="preserve">. </w:t>
      </w:r>
    </w:p>
    <w:p w14:paraId="756D1275" w14:textId="77777777" w:rsidR="00840BEF" w:rsidRPr="001E543E" w:rsidRDefault="00840BEF" w:rsidP="0020108E">
      <w:pPr>
        <w:spacing w:before="120" w:after="120" w:line="269" w:lineRule="auto"/>
        <w:jc w:val="both"/>
        <w:rPr>
          <w:rFonts w:ascii="Times New Roman" w:eastAsia="Calibri" w:hAnsi="Times New Roman" w:cs="Times New Roman"/>
          <w:b/>
          <w:lang w:eastAsia="et-EE"/>
        </w:rPr>
      </w:pPr>
      <w:r w:rsidRPr="001E543E">
        <w:rPr>
          <w:rFonts w:ascii="Times New Roman" w:eastAsia="Calibri" w:hAnsi="Times New Roman" w:cs="Times New Roman"/>
          <w:b/>
          <w:lang w:eastAsia="et-EE"/>
        </w:rPr>
        <w:t>Ravimi tõendatud efektiivsus ja ohutus:</w:t>
      </w:r>
    </w:p>
    <w:p w14:paraId="746A0AE9" w14:textId="74D2F697" w:rsidR="008334B2" w:rsidRPr="008334B2" w:rsidRDefault="008334B2" w:rsidP="0020108E">
      <w:pPr>
        <w:spacing w:before="120" w:after="120" w:line="269" w:lineRule="auto"/>
        <w:jc w:val="both"/>
        <w:rPr>
          <w:rFonts w:ascii="Times New Roman" w:eastAsiaTheme="minorEastAsia" w:hAnsi="Times New Roman" w:cs="Times New Roman"/>
          <w:bCs/>
          <w:lang w:eastAsia="et-EE"/>
        </w:rPr>
      </w:pPr>
      <w:r w:rsidRPr="008334B2">
        <w:rPr>
          <w:rFonts w:ascii="Times New Roman" w:eastAsiaTheme="minorEastAsia" w:hAnsi="Times New Roman" w:cs="Times New Roman"/>
          <w:bCs/>
          <w:lang w:eastAsia="et-EE"/>
        </w:rPr>
        <w:t xml:space="preserve">Taotleja esitas andmed ühe </w:t>
      </w:r>
      <w:r w:rsidRPr="00E53D61">
        <w:rPr>
          <w:rFonts w:ascii="Times New Roman" w:eastAsiaTheme="minorEastAsia" w:hAnsi="Times New Roman" w:cs="Times New Roman"/>
          <w:bCs/>
          <w:lang w:eastAsia="et-EE"/>
        </w:rPr>
        <w:t xml:space="preserve">II faasi ilma võrdlusrühmata rinnavähiga patsientide uuringu kohta (Freyer </w:t>
      </w:r>
      <w:r w:rsidRPr="00EF528C">
        <w:rPr>
          <w:rFonts w:ascii="Times New Roman" w:eastAsiaTheme="minorEastAsia" w:hAnsi="Times New Roman" w:cs="Times New Roman"/>
          <w:bCs/>
          <w:i/>
          <w:lang w:eastAsia="et-EE"/>
        </w:rPr>
        <w:t>et al</w:t>
      </w:r>
      <w:r w:rsidR="00B732A3">
        <w:rPr>
          <w:rFonts w:ascii="Times New Roman" w:eastAsiaTheme="minorEastAsia" w:hAnsi="Times New Roman" w:cs="Times New Roman"/>
          <w:bCs/>
          <w:i/>
          <w:lang w:eastAsia="et-EE"/>
        </w:rPr>
        <w:t xml:space="preserve"> </w:t>
      </w:r>
      <w:r w:rsidR="00B732A3">
        <w:rPr>
          <w:rFonts w:ascii="Times New Roman" w:eastAsiaTheme="minorEastAsia" w:hAnsi="Times New Roman" w:cs="Times New Roman"/>
          <w:bCs/>
          <w:lang w:eastAsia="et-EE"/>
        </w:rPr>
        <w:t>2003</w:t>
      </w:r>
      <w:r w:rsidRPr="008334B2">
        <w:rPr>
          <w:rFonts w:ascii="Times New Roman" w:eastAsiaTheme="minorEastAsia" w:hAnsi="Times New Roman" w:cs="Times New Roman"/>
          <w:bCs/>
          <w:lang w:eastAsia="et-EE"/>
        </w:rPr>
        <w:t xml:space="preserve">). Uuringus osales 58 patsienti. Neljal patsiendil (6,9%) saavutati täielik ravivastus ja 14 patsiendil (24,1%) osaline ravivastus, üldine ravivastuse määr oli </w:t>
      </w:r>
      <w:r w:rsidR="00C8712B">
        <w:rPr>
          <w:rFonts w:ascii="Times New Roman" w:eastAsiaTheme="minorEastAsia" w:hAnsi="Times New Roman" w:cs="Times New Roman"/>
          <w:bCs/>
          <w:lang w:eastAsia="et-EE"/>
        </w:rPr>
        <w:t>3</w:t>
      </w:r>
      <w:r w:rsidRPr="008334B2">
        <w:rPr>
          <w:rFonts w:ascii="Times New Roman" w:eastAsiaTheme="minorEastAsia" w:hAnsi="Times New Roman" w:cs="Times New Roman"/>
          <w:bCs/>
          <w:lang w:eastAsia="et-EE"/>
        </w:rPr>
        <w:t xml:space="preserve">1% (95% UV, 19% kuni 43%). Progressioonivaba </w:t>
      </w:r>
      <w:r w:rsidR="00E53D61">
        <w:rPr>
          <w:rFonts w:ascii="Times New Roman" w:eastAsiaTheme="minorEastAsia" w:hAnsi="Times New Roman" w:cs="Times New Roman"/>
          <w:bCs/>
          <w:lang w:eastAsia="et-EE"/>
        </w:rPr>
        <w:t>p</w:t>
      </w:r>
      <w:r w:rsidRPr="008334B2">
        <w:rPr>
          <w:rFonts w:ascii="Times New Roman" w:eastAsiaTheme="minorEastAsia" w:hAnsi="Times New Roman" w:cs="Times New Roman"/>
          <w:bCs/>
          <w:lang w:eastAsia="et-EE"/>
        </w:rPr>
        <w:t>e</w:t>
      </w:r>
      <w:r w:rsidR="00E53D61">
        <w:rPr>
          <w:rFonts w:ascii="Times New Roman" w:eastAsiaTheme="minorEastAsia" w:hAnsi="Times New Roman" w:cs="Times New Roman"/>
          <w:bCs/>
          <w:lang w:eastAsia="et-EE"/>
        </w:rPr>
        <w:t>rioodi</w:t>
      </w:r>
      <w:r w:rsidRPr="008334B2">
        <w:rPr>
          <w:rFonts w:ascii="Times New Roman" w:eastAsiaTheme="minorEastAsia" w:hAnsi="Times New Roman" w:cs="Times New Roman"/>
          <w:bCs/>
          <w:lang w:eastAsia="et-EE"/>
        </w:rPr>
        <w:t xml:space="preserve"> mediaan oli 17,4 nädalat. </w:t>
      </w:r>
      <w:r w:rsidR="003C60E8">
        <w:rPr>
          <w:rFonts w:ascii="Times New Roman" w:eastAsiaTheme="minorEastAsia" w:hAnsi="Times New Roman" w:cs="Times New Roman"/>
          <w:bCs/>
          <w:lang w:eastAsia="et-EE"/>
        </w:rPr>
        <w:t>Elulemuse mediaani</w:t>
      </w:r>
      <w:r w:rsidRPr="008334B2">
        <w:rPr>
          <w:rFonts w:ascii="Times New Roman" w:eastAsiaTheme="minorEastAsia" w:hAnsi="Times New Roman" w:cs="Times New Roman"/>
          <w:bCs/>
          <w:lang w:eastAsia="et-EE"/>
        </w:rPr>
        <w:t xml:space="preserve"> ei saavutatud. Peamine kõrvaltoime oli neutropeenia. 4. astme kõrvaltoimet esines 17,2% patsientidest ja kliiniliselt tõsiseid juhtumeid 4 patsiendil (6,2%). 3. ja 4. astme iiveldust ja/või oksendamist esines vastavalt 3,1% ja 4,6% patisentidest. </w:t>
      </w:r>
    </w:p>
    <w:p w14:paraId="233188F4" w14:textId="77777777" w:rsidR="003A3605" w:rsidRDefault="008334B2" w:rsidP="003A3605">
      <w:pPr>
        <w:spacing w:before="120" w:after="120" w:line="269" w:lineRule="auto"/>
        <w:jc w:val="both"/>
        <w:rPr>
          <w:rFonts w:ascii="Times New Roman" w:eastAsiaTheme="minorEastAsia" w:hAnsi="Times New Roman" w:cs="Times New Roman"/>
          <w:bCs/>
          <w:lang w:eastAsia="et-EE"/>
        </w:rPr>
      </w:pPr>
      <w:r w:rsidRPr="00EF528C">
        <w:rPr>
          <w:rFonts w:ascii="Times New Roman" w:eastAsiaTheme="minorEastAsia" w:hAnsi="Times New Roman" w:cs="Times New Roman"/>
          <w:bCs/>
          <w:lang w:eastAsia="et-EE"/>
        </w:rPr>
        <w:lastRenderedPageBreak/>
        <w:t>III faasi randomiseeritud uuringu</w:t>
      </w:r>
      <w:r w:rsidR="00E53D61" w:rsidRPr="00EF528C">
        <w:rPr>
          <w:rFonts w:ascii="Times New Roman" w:eastAsiaTheme="minorEastAsia" w:hAnsi="Times New Roman" w:cs="Times New Roman"/>
          <w:bCs/>
          <w:lang w:eastAsia="et-EE"/>
        </w:rPr>
        <w:t>s</w:t>
      </w:r>
      <w:r w:rsidRPr="00EF528C">
        <w:rPr>
          <w:rFonts w:ascii="Times New Roman" w:eastAsiaTheme="minorEastAsia" w:hAnsi="Times New Roman" w:cs="Times New Roman"/>
          <w:bCs/>
          <w:lang w:eastAsia="et-EE"/>
        </w:rPr>
        <w:t xml:space="preserve"> (Andersson, </w:t>
      </w:r>
      <w:r w:rsidRPr="00EF528C">
        <w:rPr>
          <w:rFonts w:ascii="Times New Roman" w:eastAsiaTheme="minorEastAsia" w:hAnsi="Times New Roman" w:cs="Times New Roman"/>
          <w:bCs/>
          <w:i/>
          <w:lang w:eastAsia="et-EE"/>
        </w:rPr>
        <w:t>et al</w:t>
      </w:r>
      <w:r w:rsidRPr="00EF528C">
        <w:rPr>
          <w:rFonts w:ascii="Times New Roman" w:eastAsiaTheme="minorEastAsia" w:hAnsi="Times New Roman" w:cs="Times New Roman"/>
          <w:bCs/>
          <w:lang w:eastAsia="et-EE"/>
        </w:rPr>
        <w:t xml:space="preserve"> 2010)</w:t>
      </w:r>
      <w:r w:rsidRPr="008334B2">
        <w:rPr>
          <w:rFonts w:ascii="Times New Roman" w:eastAsiaTheme="minorEastAsia" w:hAnsi="Times New Roman" w:cs="Times New Roman"/>
          <w:bCs/>
          <w:lang w:eastAsia="et-EE"/>
        </w:rPr>
        <w:t xml:space="preserve"> võrreldi dotsetakseeli ja vinorelbiini lisatuna trastuzumabile HER-2 positiivse rinnavähi I rea ravis. 143 patsienti said dotsetakseeli ning 141 patsienti vinorelbiini. Progressioonivaba </w:t>
      </w:r>
      <w:r w:rsidR="003A3605">
        <w:rPr>
          <w:rFonts w:ascii="Times New Roman" w:eastAsiaTheme="minorEastAsia" w:hAnsi="Times New Roman" w:cs="Times New Roman"/>
          <w:bCs/>
          <w:lang w:eastAsia="et-EE"/>
        </w:rPr>
        <w:t>perioodi mediaan</w:t>
      </w:r>
      <w:r w:rsidRPr="008334B2">
        <w:rPr>
          <w:rFonts w:ascii="Times New Roman" w:eastAsiaTheme="minorEastAsia" w:hAnsi="Times New Roman" w:cs="Times New Roman"/>
          <w:bCs/>
          <w:lang w:eastAsia="et-EE"/>
        </w:rPr>
        <w:t xml:space="preserve"> oli </w:t>
      </w:r>
      <w:r w:rsidR="003A3605" w:rsidRPr="003A3605">
        <w:rPr>
          <w:rFonts w:ascii="Times New Roman" w:eastAsiaTheme="minorEastAsia" w:hAnsi="Times New Roman" w:cs="Times New Roman"/>
          <w:bCs/>
          <w:lang w:eastAsia="et-EE"/>
        </w:rPr>
        <w:t xml:space="preserve">12,4 kuud doktsetakseeli ja 15,3 kuud vinorelbiini rühmas, </w:t>
      </w:r>
      <w:r w:rsidR="003A3605">
        <w:rPr>
          <w:rFonts w:ascii="Times New Roman" w:eastAsiaTheme="minorEastAsia" w:hAnsi="Times New Roman" w:cs="Times New Roman"/>
          <w:bCs/>
          <w:lang w:eastAsia="et-EE"/>
        </w:rPr>
        <w:t xml:space="preserve">kuid erinevus </w:t>
      </w:r>
      <w:r w:rsidR="003A3605" w:rsidRPr="003A3605">
        <w:rPr>
          <w:rFonts w:ascii="Times New Roman" w:eastAsiaTheme="minorEastAsia" w:hAnsi="Times New Roman" w:cs="Times New Roman"/>
          <w:bCs/>
          <w:lang w:eastAsia="et-EE"/>
        </w:rPr>
        <w:t>ei olnud statistiliselt oluline (</w:t>
      </w:r>
      <w:r w:rsidR="003A3605" w:rsidRPr="003A3605">
        <w:rPr>
          <w:rFonts w:ascii="Times New Roman" w:eastAsiaTheme="minorEastAsia" w:hAnsi="Times New Roman" w:cs="Times New Roman"/>
          <w:bCs/>
          <w:lang w:val="pl-PL" w:eastAsia="et-EE"/>
        </w:rPr>
        <w:t xml:space="preserve">HR 0.94; 95% </w:t>
      </w:r>
      <w:r w:rsidR="003A3605" w:rsidRPr="003A3605">
        <w:rPr>
          <w:rFonts w:ascii="Times New Roman" w:eastAsiaTheme="minorEastAsia" w:hAnsi="Times New Roman" w:cs="Times New Roman"/>
          <w:bCs/>
          <w:lang w:eastAsia="et-EE"/>
        </w:rPr>
        <w:t>UV</w:t>
      </w:r>
      <w:r w:rsidR="003A3605" w:rsidRPr="003A3605">
        <w:rPr>
          <w:rFonts w:ascii="Times New Roman" w:eastAsiaTheme="minorEastAsia" w:hAnsi="Times New Roman" w:cs="Times New Roman"/>
          <w:bCs/>
          <w:lang w:val="pl-PL" w:eastAsia="et-EE"/>
        </w:rPr>
        <w:t xml:space="preserve"> 0.71 </w:t>
      </w:r>
      <w:r w:rsidR="003A3605" w:rsidRPr="003A3605">
        <w:rPr>
          <w:rFonts w:ascii="Times New Roman" w:eastAsiaTheme="minorEastAsia" w:hAnsi="Times New Roman" w:cs="Times New Roman"/>
          <w:bCs/>
          <w:lang w:eastAsia="et-EE"/>
        </w:rPr>
        <w:t>kuni</w:t>
      </w:r>
      <w:r w:rsidR="003A3605" w:rsidRPr="003A3605">
        <w:rPr>
          <w:rFonts w:ascii="Times New Roman" w:eastAsiaTheme="minorEastAsia" w:hAnsi="Times New Roman" w:cs="Times New Roman"/>
          <w:bCs/>
          <w:lang w:val="pl-PL" w:eastAsia="et-EE"/>
        </w:rPr>
        <w:t xml:space="preserve"> 1.25; </w:t>
      </w:r>
      <w:r w:rsidR="003A3605">
        <w:rPr>
          <w:rFonts w:ascii="Times New Roman" w:eastAsiaTheme="minorEastAsia" w:hAnsi="Times New Roman" w:cs="Times New Roman"/>
          <w:bCs/>
          <w:lang w:val="pl-PL" w:eastAsia="et-EE"/>
        </w:rPr>
        <w:t>p</w:t>
      </w:r>
      <w:r w:rsidR="003A3605" w:rsidRPr="003A3605">
        <w:rPr>
          <w:rFonts w:ascii="Times New Roman" w:eastAsiaTheme="minorEastAsia" w:hAnsi="Times New Roman" w:cs="Times New Roman"/>
          <w:b/>
          <w:bCs/>
          <w:lang w:val="pl-PL" w:eastAsia="et-EE"/>
        </w:rPr>
        <w:t>=</w:t>
      </w:r>
      <w:r w:rsidR="003A3605" w:rsidRPr="003A3605">
        <w:rPr>
          <w:rFonts w:ascii="Times New Roman" w:eastAsiaTheme="minorEastAsia" w:hAnsi="Times New Roman" w:cs="Times New Roman"/>
          <w:bCs/>
          <w:lang w:val="pl-PL" w:eastAsia="et-EE"/>
        </w:rPr>
        <w:t>0.67</w:t>
      </w:r>
      <w:r w:rsidR="003A3605" w:rsidRPr="003A3605">
        <w:rPr>
          <w:rFonts w:ascii="Times New Roman" w:eastAsiaTheme="minorEastAsia" w:hAnsi="Times New Roman" w:cs="Times New Roman"/>
          <w:bCs/>
          <w:lang w:eastAsia="et-EE"/>
        </w:rPr>
        <w:t>)</w:t>
      </w:r>
      <w:r w:rsidR="00A24EDF">
        <w:rPr>
          <w:rFonts w:ascii="Times New Roman" w:eastAsiaTheme="minorEastAsia" w:hAnsi="Times New Roman" w:cs="Times New Roman"/>
          <w:bCs/>
          <w:lang w:eastAsia="et-EE"/>
        </w:rPr>
        <w:t>.</w:t>
      </w:r>
      <w:r w:rsidR="003A3605" w:rsidRPr="003A3605">
        <w:rPr>
          <w:rFonts w:ascii="Times New Roman" w:eastAsiaTheme="minorEastAsia" w:hAnsi="Times New Roman" w:cs="Times New Roman"/>
          <w:bCs/>
          <w:lang w:eastAsia="et-EE"/>
        </w:rPr>
        <w:t xml:space="preserve"> </w:t>
      </w:r>
      <w:r w:rsidR="00A24EDF">
        <w:rPr>
          <w:rFonts w:ascii="Times New Roman" w:eastAsiaTheme="minorEastAsia" w:hAnsi="Times New Roman" w:cs="Times New Roman"/>
          <w:bCs/>
          <w:lang w:eastAsia="et-EE"/>
        </w:rPr>
        <w:t>E</w:t>
      </w:r>
      <w:r w:rsidR="003A3605" w:rsidRPr="003A3605">
        <w:rPr>
          <w:rFonts w:ascii="Times New Roman" w:eastAsiaTheme="minorEastAsia" w:hAnsi="Times New Roman" w:cs="Times New Roman"/>
          <w:bCs/>
          <w:lang w:eastAsia="et-EE"/>
        </w:rPr>
        <w:t>lulemuse mediaan oli vastavalt 35,7 ja 38,8 kuud (</w:t>
      </w:r>
      <w:r w:rsidR="003A3605" w:rsidRPr="003A3605">
        <w:rPr>
          <w:rFonts w:ascii="Times New Roman" w:eastAsiaTheme="minorEastAsia" w:hAnsi="Times New Roman" w:cs="Times New Roman"/>
          <w:bCs/>
          <w:lang w:val="pl-PL" w:eastAsia="et-EE"/>
        </w:rPr>
        <w:t xml:space="preserve">HR 1.01; 95% </w:t>
      </w:r>
      <w:r w:rsidR="003A3605" w:rsidRPr="003A3605">
        <w:rPr>
          <w:rFonts w:ascii="Times New Roman" w:eastAsiaTheme="minorEastAsia" w:hAnsi="Times New Roman" w:cs="Times New Roman"/>
          <w:bCs/>
          <w:lang w:eastAsia="et-EE"/>
        </w:rPr>
        <w:t>UV</w:t>
      </w:r>
      <w:r w:rsidR="003A3605" w:rsidRPr="003A3605">
        <w:rPr>
          <w:rFonts w:ascii="Times New Roman" w:eastAsiaTheme="minorEastAsia" w:hAnsi="Times New Roman" w:cs="Times New Roman"/>
          <w:bCs/>
          <w:lang w:val="pl-PL" w:eastAsia="et-EE"/>
        </w:rPr>
        <w:t xml:space="preserve"> 0.71 </w:t>
      </w:r>
      <w:r w:rsidR="003A3605" w:rsidRPr="003A3605">
        <w:rPr>
          <w:rFonts w:ascii="Times New Roman" w:eastAsiaTheme="minorEastAsia" w:hAnsi="Times New Roman" w:cs="Times New Roman"/>
          <w:bCs/>
          <w:lang w:eastAsia="et-EE"/>
        </w:rPr>
        <w:t>kuni</w:t>
      </w:r>
      <w:r w:rsidR="003A3605" w:rsidRPr="003A3605">
        <w:rPr>
          <w:rFonts w:ascii="Times New Roman" w:eastAsiaTheme="minorEastAsia" w:hAnsi="Times New Roman" w:cs="Times New Roman"/>
          <w:bCs/>
          <w:lang w:val="pl-PL" w:eastAsia="et-EE"/>
        </w:rPr>
        <w:t xml:space="preserve"> 1.42; </w:t>
      </w:r>
      <w:r w:rsidR="003A3605">
        <w:rPr>
          <w:rFonts w:ascii="Times New Roman" w:eastAsiaTheme="minorEastAsia" w:hAnsi="Times New Roman" w:cs="Times New Roman"/>
          <w:bCs/>
          <w:lang w:val="pl-PL" w:eastAsia="et-EE"/>
        </w:rPr>
        <w:t>p</w:t>
      </w:r>
      <w:r w:rsidR="003A3605" w:rsidRPr="003A3605">
        <w:rPr>
          <w:rFonts w:ascii="Times New Roman" w:eastAsiaTheme="minorEastAsia" w:hAnsi="Times New Roman" w:cs="Times New Roman"/>
          <w:bCs/>
          <w:lang w:val="pl-PL" w:eastAsia="et-EE"/>
        </w:rPr>
        <w:t>=0.98</w:t>
      </w:r>
      <w:r w:rsidR="003A3605" w:rsidRPr="003A3605">
        <w:rPr>
          <w:rFonts w:ascii="Times New Roman" w:eastAsiaTheme="minorEastAsia" w:hAnsi="Times New Roman" w:cs="Times New Roman"/>
          <w:bCs/>
          <w:lang w:eastAsia="et-EE"/>
        </w:rPr>
        <w:t>)</w:t>
      </w:r>
      <w:r w:rsidR="003A3605">
        <w:rPr>
          <w:rFonts w:ascii="Times New Roman" w:eastAsiaTheme="minorEastAsia" w:hAnsi="Times New Roman" w:cs="Times New Roman"/>
          <w:bCs/>
          <w:lang w:eastAsia="et-EE"/>
        </w:rPr>
        <w:t>, aga</w:t>
      </w:r>
      <w:r w:rsidR="003A3605" w:rsidRPr="003A3605">
        <w:rPr>
          <w:rFonts w:ascii="Times New Roman" w:eastAsiaTheme="minorEastAsia" w:hAnsi="Times New Roman" w:cs="Times New Roman"/>
          <w:bCs/>
          <w:lang w:eastAsia="et-EE"/>
        </w:rPr>
        <w:t xml:space="preserve"> ka see ei olnud statistiliselt oluline. Ühe aasta elulemus oli mõlemas rühmas 88%. </w:t>
      </w:r>
      <w:r w:rsidR="00F50C65" w:rsidRPr="008334B2">
        <w:rPr>
          <w:rFonts w:ascii="Times New Roman" w:eastAsiaTheme="minorEastAsia" w:hAnsi="Times New Roman" w:cs="Times New Roman"/>
          <w:bCs/>
          <w:lang w:eastAsia="et-EE"/>
        </w:rPr>
        <w:t>Kõrvaltoimete tõttu katkestas ravi rohkem patsiente dotsetakseeli rühmas. 3</w:t>
      </w:r>
      <w:r w:rsidR="00A24EDF">
        <w:rPr>
          <w:rFonts w:ascii="Times New Roman" w:eastAsiaTheme="minorEastAsia" w:hAnsi="Times New Roman" w:cs="Times New Roman"/>
          <w:bCs/>
          <w:lang w:eastAsia="et-EE"/>
        </w:rPr>
        <w:t>.</w:t>
      </w:r>
      <w:r w:rsidR="00F50C65" w:rsidRPr="008334B2">
        <w:rPr>
          <w:rFonts w:ascii="Times New Roman" w:eastAsiaTheme="minorEastAsia" w:hAnsi="Times New Roman" w:cs="Times New Roman"/>
          <w:bCs/>
          <w:lang w:eastAsia="et-EE"/>
        </w:rPr>
        <w:t xml:space="preserve"> ja 4</w:t>
      </w:r>
      <w:r w:rsidR="00A24EDF">
        <w:rPr>
          <w:rFonts w:ascii="Times New Roman" w:eastAsiaTheme="minorEastAsia" w:hAnsi="Times New Roman" w:cs="Times New Roman"/>
          <w:bCs/>
          <w:lang w:eastAsia="et-EE"/>
        </w:rPr>
        <w:t>.</w:t>
      </w:r>
      <w:r w:rsidR="00F50C65" w:rsidRPr="008334B2">
        <w:rPr>
          <w:rFonts w:ascii="Times New Roman" w:eastAsiaTheme="minorEastAsia" w:hAnsi="Times New Roman" w:cs="Times New Roman"/>
          <w:bCs/>
          <w:lang w:eastAsia="et-EE"/>
        </w:rPr>
        <w:t xml:space="preserve"> astme kõrvaltoimetest esines dotsetakseeliga rohkem febriilset neutropeeniat, leukopeeniat, infektsioone, neuropaatiat. </w:t>
      </w:r>
    </w:p>
    <w:p w14:paraId="3E5FB94E" w14:textId="77777777" w:rsidR="00C71D74" w:rsidRDefault="00A24EDF" w:rsidP="003A3605">
      <w:pPr>
        <w:spacing w:before="120" w:after="120" w:line="269" w:lineRule="auto"/>
        <w:jc w:val="both"/>
        <w:rPr>
          <w:rFonts w:ascii="Times New Roman" w:eastAsiaTheme="minorEastAsia" w:hAnsi="Times New Roman" w:cs="Times New Roman"/>
          <w:bCs/>
          <w:lang w:eastAsia="et-EE"/>
        </w:rPr>
      </w:pPr>
      <w:r>
        <w:rPr>
          <w:rFonts w:ascii="Times New Roman" w:eastAsiaTheme="minorEastAsia" w:hAnsi="Times New Roman" w:cs="Times New Roman"/>
          <w:bCs/>
          <w:lang w:eastAsia="et-EE"/>
        </w:rPr>
        <w:t xml:space="preserve">Kliiniline tõenduspõhine </w:t>
      </w:r>
      <w:r w:rsidRPr="00374D9E">
        <w:rPr>
          <w:rFonts w:ascii="Times New Roman" w:eastAsiaTheme="minorEastAsia" w:hAnsi="Times New Roman" w:cs="Times New Roman"/>
          <w:bCs/>
          <w:lang w:eastAsia="et-EE"/>
        </w:rPr>
        <w:t xml:space="preserve">andmebaas </w:t>
      </w:r>
      <w:r w:rsidR="00C71D74" w:rsidRPr="00374D9E">
        <w:rPr>
          <w:rFonts w:ascii="Times New Roman" w:eastAsiaTheme="minorEastAsia" w:hAnsi="Times New Roman" w:cs="Times New Roman"/>
          <w:bCs/>
          <w:lang w:eastAsia="et-EE"/>
        </w:rPr>
        <w:t xml:space="preserve">UpToDate mainib vinorelbiini kui ühte võimalust rinnavähi ravis (peatükk: </w:t>
      </w:r>
      <w:r w:rsidR="00C71D74" w:rsidRPr="00374D9E">
        <w:rPr>
          <w:rFonts w:ascii="Times New Roman" w:eastAsiaTheme="minorEastAsia" w:hAnsi="Times New Roman" w:cs="Times New Roman"/>
          <w:bCs/>
          <w:i/>
          <w:iCs/>
          <w:lang w:eastAsia="et-EE"/>
        </w:rPr>
        <w:t>Systemic treatment of metastatic breast cancer in women: Chemotherapy</w:t>
      </w:r>
      <w:r w:rsidR="00C71D74" w:rsidRPr="00374D9E">
        <w:rPr>
          <w:rFonts w:ascii="Times New Roman" w:eastAsiaTheme="minorEastAsia" w:hAnsi="Times New Roman" w:cs="Times New Roman"/>
          <w:bCs/>
          <w:lang w:eastAsia="et-EE"/>
        </w:rPr>
        <w:t xml:space="preserve">), kuid ei esita võrdlevaid efektiivsuse andmeid teiste ravivõimalustega. </w:t>
      </w:r>
    </w:p>
    <w:p w14:paraId="7954B5CE" w14:textId="77777777" w:rsidR="001719EE" w:rsidRDefault="002F6B29" w:rsidP="0020108E">
      <w:pPr>
        <w:spacing w:before="120" w:after="120" w:line="269" w:lineRule="auto"/>
        <w:jc w:val="both"/>
        <w:rPr>
          <w:rFonts w:ascii="Times New Roman" w:eastAsia="Calibri" w:hAnsi="Times New Roman" w:cs="Times New Roman"/>
          <w:b/>
          <w:lang w:eastAsia="et-EE"/>
        </w:rPr>
      </w:pPr>
      <w:r w:rsidRPr="00F86AEB">
        <w:rPr>
          <w:rFonts w:ascii="Times New Roman" w:eastAsia="Calibri" w:hAnsi="Times New Roman" w:cs="Times New Roman"/>
          <w:b/>
          <w:lang w:eastAsia="et-EE"/>
        </w:rPr>
        <w:t>Ravimi kasutamise majanduslik põhjendatus:</w:t>
      </w:r>
    </w:p>
    <w:p w14:paraId="41CFA32F" w14:textId="77777777" w:rsidR="001719EE" w:rsidRPr="001719EE" w:rsidRDefault="001719EE" w:rsidP="0020108E">
      <w:pPr>
        <w:spacing w:before="120" w:after="120" w:line="269" w:lineRule="auto"/>
        <w:jc w:val="both"/>
        <w:rPr>
          <w:rFonts w:ascii="Times New Roman" w:eastAsia="Calibri" w:hAnsi="Times New Roman" w:cs="Times New Roman"/>
          <w:b/>
          <w:lang w:eastAsia="et-EE"/>
        </w:rPr>
      </w:pPr>
      <w:r w:rsidRPr="001719EE">
        <w:rPr>
          <w:rFonts w:ascii="Times New Roman" w:eastAsiaTheme="minorEastAsia" w:hAnsi="Times New Roman" w:cs="Times New Roman"/>
        </w:rPr>
        <w:t>Taotleja on rinnavähi näidustuse osas esitanud kuluminimeerimise analüüsi, milles võrdleb suukaudse vinorelbiini maksumust taksaanide: paklitakseeli ja dotsetakseeli monoteraapiate maksumustega</w:t>
      </w:r>
      <w:r w:rsidR="00B3403F">
        <w:rPr>
          <w:rFonts w:ascii="Times New Roman" w:eastAsiaTheme="minorEastAsia" w:hAnsi="Times New Roman" w:cs="Times New Roman"/>
        </w:rPr>
        <w:t>.</w:t>
      </w:r>
      <w:r w:rsidRPr="001719EE">
        <w:rPr>
          <w:rFonts w:ascii="Times New Roman" w:eastAsiaTheme="minorEastAsia" w:hAnsi="Times New Roman" w:cs="Times New Roman"/>
        </w:rPr>
        <w:t xml:space="preserve"> Taotleja poolt on esitatud kolm II faasi </w:t>
      </w:r>
      <w:r w:rsidR="00A24EDF">
        <w:rPr>
          <w:rFonts w:ascii="Times New Roman" w:eastAsiaTheme="minorEastAsia" w:hAnsi="Times New Roman" w:cs="Times New Roman"/>
        </w:rPr>
        <w:t>võrdlusrühmata</w:t>
      </w:r>
      <w:r w:rsidR="00A24EDF" w:rsidRPr="001719EE">
        <w:rPr>
          <w:rFonts w:ascii="Times New Roman" w:eastAsiaTheme="minorEastAsia" w:hAnsi="Times New Roman" w:cs="Times New Roman"/>
        </w:rPr>
        <w:t xml:space="preserve"> </w:t>
      </w:r>
      <w:r w:rsidRPr="001719EE">
        <w:rPr>
          <w:rFonts w:ascii="Times New Roman" w:eastAsiaTheme="minorEastAsia" w:hAnsi="Times New Roman" w:cs="Times New Roman"/>
        </w:rPr>
        <w:t>uuringut, millest esimeses said patsiendid kaugelearenenud rinnavähi esmavaliku ravimina vinorelbiini, teises paklitakseeli</w:t>
      </w:r>
      <w:r w:rsidR="00F209D9">
        <w:rPr>
          <w:rFonts w:ascii="Times New Roman" w:eastAsiaTheme="minorEastAsia" w:hAnsi="Times New Roman" w:cs="Times New Roman"/>
        </w:rPr>
        <w:t>,</w:t>
      </w:r>
      <w:r w:rsidRPr="001719EE">
        <w:rPr>
          <w:rFonts w:ascii="Times New Roman" w:eastAsiaTheme="minorEastAsia" w:hAnsi="Times New Roman" w:cs="Times New Roman"/>
        </w:rPr>
        <w:t xml:space="preserve"> kolmandas dotsetakseeli ning järeldanud, et vinorelbiinist saadav kasu on võrreldav praegu Eestis kasutusel olevate paklitakseeli ja dotsetakseeli monoteraapiatega. </w:t>
      </w:r>
    </w:p>
    <w:p w14:paraId="55B42BF2" w14:textId="6596D788" w:rsidR="001719EE" w:rsidRPr="00A524F4" w:rsidRDefault="001719EE" w:rsidP="0020108E">
      <w:pPr>
        <w:pStyle w:val="Normaallaadveeb"/>
        <w:spacing w:before="120" w:beforeAutospacing="0" w:after="120" w:afterAutospacing="0" w:line="269" w:lineRule="auto"/>
        <w:jc w:val="both"/>
        <w:rPr>
          <w:rFonts w:eastAsiaTheme="minorEastAsia"/>
          <w:sz w:val="22"/>
        </w:rPr>
      </w:pPr>
      <w:r w:rsidRPr="00F209D9">
        <w:rPr>
          <w:rFonts w:eastAsiaTheme="minorEastAsia"/>
          <w:sz w:val="22"/>
        </w:rPr>
        <w:t xml:space="preserve">Haigekassa hinnangul ei saa otsese võrdlusuuringuta eeldada 3 toimeaine samaväärset efektiivsust, lisaks on taotleja esitatud arvutused arusaamatud ning ebakorrektsed. </w:t>
      </w:r>
      <w:r w:rsidRPr="001719EE">
        <w:rPr>
          <w:rFonts w:eastAsiaTheme="minorEastAsia"/>
          <w:sz w:val="22"/>
          <w:szCs w:val="22"/>
          <w:lang w:eastAsia="en-US"/>
        </w:rPr>
        <w:t xml:space="preserve">Lähtudes siiski kolme ravimi kaudsest võrdlusest, teostas haigekassa lihtsustatud hinnavõrdluse </w:t>
      </w:r>
      <w:r w:rsidR="00A524F4">
        <w:rPr>
          <w:rFonts w:eastAsiaTheme="minorEastAsia"/>
          <w:sz w:val="22"/>
          <w:szCs w:val="22"/>
          <w:lang w:eastAsia="en-US"/>
        </w:rPr>
        <w:t xml:space="preserve">ja leidis, et taotletava hinna korral on suukaudse vinorelbiini maksumus </w:t>
      </w:r>
      <w:r w:rsidR="00AB1A50" w:rsidRPr="00AB1A50">
        <w:rPr>
          <w:rFonts w:eastAsiaTheme="minorEastAsia"/>
          <w:sz w:val="22"/>
          <w:szCs w:val="22"/>
          <w:highlight w:val="lightGray"/>
          <w:lang w:eastAsia="en-US"/>
        </w:rPr>
        <w:t>…</w:t>
      </w:r>
      <w:r w:rsidR="00A524F4">
        <w:rPr>
          <w:rFonts w:eastAsiaTheme="minorEastAsia"/>
          <w:sz w:val="22"/>
          <w:szCs w:val="22"/>
          <w:lang w:eastAsia="en-US"/>
        </w:rPr>
        <w:t xml:space="preserve"> korda kallim juba hüvitatavatest paklitakseeli ja dotsetakseeli maksumustest (arvestatud on kaasuvate kuludega). </w:t>
      </w:r>
    </w:p>
    <w:p w14:paraId="7C06D600" w14:textId="77777777" w:rsidR="002F6B29" w:rsidRPr="001E543E" w:rsidRDefault="002F6B29" w:rsidP="0020108E">
      <w:pPr>
        <w:pStyle w:val="Normaallaadveeb"/>
        <w:spacing w:before="120" w:beforeAutospacing="0" w:after="120" w:afterAutospacing="0" w:line="269" w:lineRule="auto"/>
        <w:jc w:val="both"/>
        <w:rPr>
          <w:rFonts w:eastAsia="Calibri"/>
          <w:b/>
          <w:sz w:val="22"/>
          <w:szCs w:val="22"/>
        </w:rPr>
      </w:pPr>
      <w:r w:rsidRPr="001E543E">
        <w:rPr>
          <w:rFonts w:eastAsia="Calibri"/>
          <w:b/>
          <w:sz w:val="22"/>
          <w:szCs w:val="22"/>
        </w:rPr>
        <w:t>Mõju ravikindlustuse eelarvele:</w:t>
      </w:r>
    </w:p>
    <w:p w14:paraId="2D4CBE34" w14:textId="25CF8A38" w:rsidR="003F624C" w:rsidRDefault="001719EE" w:rsidP="0020108E">
      <w:pPr>
        <w:spacing w:before="120" w:after="120" w:line="269" w:lineRule="auto"/>
        <w:jc w:val="both"/>
        <w:rPr>
          <w:rFonts w:ascii="Times New Roman" w:eastAsiaTheme="minorEastAsia" w:hAnsi="Times New Roman" w:cs="Times New Roman"/>
          <w:lang w:eastAsia="et-EE"/>
        </w:rPr>
      </w:pPr>
      <w:r w:rsidRPr="001719EE">
        <w:rPr>
          <w:rFonts w:ascii="Times New Roman" w:eastAsiaTheme="minorEastAsia" w:hAnsi="Times New Roman" w:cs="Times New Roman"/>
          <w:lang w:eastAsia="et-EE"/>
        </w:rPr>
        <w:t>Lähtuvalt taotleja</w:t>
      </w:r>
      <w:r w:rsidR="00543824">
        <w:rPr>
          <w:rFonts w:ascii="Times New Roman" w:eastAsiaTheme="minorEastAsia" w:hAnsi="Times New Roman" w:cs="Times New Roman"/>
          <w:lang w:eastAsia="et-EE"/>
        </w:rPr>
        <w:t xml:space="preserve"> patsientide</w:t>
      </w:r>
      <w:r w:rsidRPr="001719EE">
        <w:rPr>
          <w:rFonts w:ascii="Times New Roman" w:eastAsiaTheme="minorEastAsia" w:hAnsi="Times New Roman" w:cs="Times New Roman"/>
          <w:lang w:eastAsia="et-EE"/>
        </w:rPr>
        <w:t xml:space="preserve"> prognoosist oleks kulu mõlema näidustuse korral kokku </w:t>
      </w:r>
      <w:r>
        <w:rPr>
          <w:rFonts w:ascii="Times New Roman" w:eastAsiaTheme="minorEastAsia" w:hAnsi="Times New Roman" w:cs="Times New Roman"/>
          <w:lang w:eastAsia="et-EE"/>
        </w:rPr>
        <w:t>kolmanda</w:t>
      </w:r>
      <w:r w:rsidRPr="001719EE">
        <w:rPr>
          <w:rFonts w:ascii="Times New Roman" w:eastAsiaTheme="minorEastAsia" w:hAnsi="Times New Roman" w:cs="Times New Roman"/>
          <w:lang w:eastAsia="et-EE"/>
        </w:rPr>
        <w:t>l aastal</w:t>
      </w:r>
      <w:r w:rsidR="00543824">
        <w:rPr>
          <w:rFonts w:ascii="Times New Roman" w:eastAsiaTheme="minorEastAsia" w:hAnsi="Times New Roman" w:cs="Times New Roman"/>
          <w:lang w:eastAsia="et-EE"/>
        </w:rPr>
        <w:t xml:space="preserve"> </w:t>
      </w:r>
      <w:r w:rsidR="00AB1A50" w:rsidRPr="00AB1A50">
        <w:rPr>
          <w:rFonts w:ascii="Times New Roman" w:eastAsiaTheme="minorEastAsia" w:hAnsi="Times New Roman" w:cs="Times New Roman"/>
          <w:highlight w:val="lightGray"/>
          <w:lang w:eastAsia="et-EE"/>
        </w:rPr>
        <w:t>…</w:t>
      </w:r>
      <w:r>
        <w:rPr>
          <w:rFonts w:ascii="Times New Roman" w:eastAsiaTheme="minorEastAsia" w:hAnsi="Times New Roman" w:cs="Times New Roman"/>
          <w:lang w:eastAsia="et-EE"/>
        </w:rPr>
        <w:t xml:space="preserve"> eurot. </w:t>
      </w:r>
      <w:r w:rsidRPr="001719EE">
        <w:rPr>
          <w:rFonts w:ascii="Times New Roman" w:eastAsiaTheme="minorEastAsia" w:hAnsi="Times New Roman" w:cs="Times New Roman"/>
          <w:lang w:eastAsia="et-EE"/>
        </w:rPr>
        <w:t xml:space="preserve"> </w:t>
      </w:r>
    </w:p>
    <w:p w14:paraId="7429A2A2" w14:textId="77777777" w:rsidR="00543824" w:rsidRDefault="00543824" w:rsidP="0020108E">
      <w:pPr>
        <w:spacing w:before="120" w:after="120" w:line="269" w:lineRule="auto"/>
        <w:jc w:val="both"/>
        <w:rPr>
          <w:rFonts w:ascii="Times New Roman" w:eastAsiaTheme="minorEastAsia" w:hAnsi="Times New Roman" w:cs="Times New Roman"/>
          <w:lang w:eastAsia="et-EE"/>
        </w:rPr>
      </w:pPr>
    </w:p>
    <w:p w14:paraId="7C512792" w14:textId="77777777" w:rsidR="00CA242C" w:rsidRDefault="00CA242C" w:rsidP="00CA242C">
      <w:pPr>
        <w:pStyle w:val="Loendilik"/>
        <w:numPr>
          <w:ilvl w:val="0"/>
          <w:numId w:val="20"/>
        </w:numPr>
        <w:spacing w:before="120" w:after="120" w:line="269" w:lineRule="auto"/>
        <w:jc w:val="both"/>
        <w:rPr>
          <w:b/>
          <w:sz w:val="22"/>
          <w:u w:val="single"/>
          <w:lang w:eastAsia="et-EE"/>
        </w:rPr>
      </w:pPr>
      <w:r w:rsidRPr="00FE35A0">
        <w:rPr>
          <w:b/>
          <w:sz w:val="22"/>
          <w:u w:val="single"/>
          <w:lang w:eastAsia="et-EE"/>
        </w:rPr>
        <w:t xml:space="preserve">100 % </w:t>
      </w:r>
      <w:r w:rsidR="000E2BD0" w:rsidRPr="00FE35A0">
        <w:rPr>
          <w:b/>
          <w:sz w:val="22"/>
          <w:u w:val="single"/>
          <w:lang w:eastAsia="et-EE"/>
        </w:rPr>
        <w:t>mitteväikerakk-kopsuvähi ravi</w:t>
      </w:r>
    </w:p>
    <w:p w14:paraId="5067FCA8" w14:textId="77777777" w:rsidR="00676273" w:rsidRDefault="00676273" w:rsidP="00B53377">
      <w:pPr>
        <w:pStyle w:val="Normaallaadveeb"/>
        <w:spacing w:before="120" w:beforeAutospacing="0" w:after="120" w:afterAutospacing="0" w:line="269" w:lineRule="auto"/>
        <w:jc w:val="both"/>
        <w:rPr>
          <w:rFonts w:eastAsiaTheme="minorEastAsia"/>
          <w:b/>
          <w:bCs/>
          <w:sz w:val="22"/>
          <w:szCs w:val="22"/>
        </w:rPr>
      </w:pPr>
      <w:r w:rsidRPr="00165447">
        <w:rPr>
          <w:rFonts w:eastAsiaTheme="minorEastAsia"/>
          <w:b/>
          <w:bCs/>
          <w:sz w:val="22"/>
          <w:szCs w:val="22"/>
        </w:rPr>
        <w:t>Praegu tervishoiuteenuste (</w:t>
      </w:r>
      <w:r w:rsidR="00B53377">
        <w:rPr>
          <w:rFonts w:eastAsiaTheme="minorEastAsia"/>
          <w:b/>
          <w:bCs/>
          <w:sz w:val="22"/>
          <w:szCs w:val="22"/>
        </w:rPr>
        <w:t>309</w:t>
      </w:r>
      <w:r w:rsidRPr="00165447">
        <w:rPr>
          <w:rFonts w:eastAsiaTheme="minorEastAsia"/>
          <w:b/>
          <w:bCs/>
          <w:sz w:val="22"/>
          <w:szCs w:val="22"/>
        </w:rPr>
        <w:t>R) või soodusravimite loetelu raames hüvitatav</w:t>
      </w:r>
      <w:r w:rsidR="00C0677F">
        <w:rPr>
          <w:rFonts w:eastAsiaTheme="minorEastAsia"/>
          <w:b/>
          <w:bCs/>
          <w:sz w:val="22"/>
          <w:szCs w:val="22"/>
        </w:rPr>
        <w:t xml:space="preserve"> mitteväikerakk-kopsuvähi näidustusel</w:t>
      </w:r>
      <w:r w:rsidR="00B53377">
        <w:rPr>
          <w:rFonts w:eastAsiaTheme="minorEastAsia"/>
          <w:b/>
          <w:bCs/>
          <w:sz w:val="22"/>
          <w:szCs w:val="22"/>
        </w:rPr>
        <w:t>:</w:t>
      </w:r>
      <w:r w:rsidRPr="00165447">
        <w:rPr>
          <w:rFonts w:eastAsiaTheme="minorEastAsia"/>
          <w:b/>
          <w:bCs/>
          <w:sz w:val="22"/>
          <w:szCs w:val="22"/>
        </w:rPr>
        <w:t xml:space="preserve"> </w:t>
      </w:r>
    </w:p>
    <w:p w14:paraId="4054932C" w14:textId="77777777" w:rsidR="00611FA8" w:rsidRDefault="00611FA8" w:rsidP="00543824">
      <w:pPr>
        <w:pStyle w:val="Normaallaadveeb"/>
        <w:spacing w:before="120" w:beforeAutospacing="0" w:after="120" w:afterAutospacing="0" w:line="269" w:lineRule="auto"/>
        <w:jc w:val="both"/>
        <w:rPr>
          <w:rFonts w:eastAsiaTheme="minorEastAsia"/>
          <w:bCs/>
          <w:sz w:val="22"/>
          <w:szCs w:val="22"/>
        </w:rPr>
      </w:pPr>
      <w:r>
        <w:rPr>
          <w:rFonts w:eastAsiaTheme="minorEastAsia"/>
          <w:bCs/>
          <w:sz w:val="22"/>
          <w:szCs w:val="22"/>
        </w:rPr>
        <w:t>1) p</w:t>
      </w:r>
      <w:r w:rsidR="00C0677F" w:rsidRPr="00C0677F">
        <w:rPr>
          <w:rFonts w:eastAsiaTheme="minorEastAsia"/>
          <w:bCs/>
          <w:sz w:val="22"/>
          <w:szCs w:val="22"/>
        </w:rPr>
        <w:t>laatinapõhine (tsisplatiin või karboplatiin) kombinatsioonravi (gemtsitabiin, vinorelbiin, etoposiid, paklitakseel või dotsetakseel) kopsuvähi korral perioperatiivselt või koos samaaegse või järjestikuse kiiritusraviga või kaugelearenenud EGFR-mutatsioonita mitteväikerakk-kopsuvähi 1. rea ravis;</w:t>
      </w:r>
      <w:r w:rsidR="00C0677F" w:rsidRPr="00C0677F">
        <w:rPr>
          <w:rFonts w:eastAsiaTheme="minorEastAsia"/>
          <w:bCs/>
          <w:sz w:val="22"/>
          <w:szCs w:val="22"/>
        </w:rPr>
        <w:br/>
      </w:r>
      <w:bookmarkStart w:id="13" w:name="para60lg19p2"/>
      <w:r w:rsidR="00C0677F" w:rsidRPr="00C0677F">
        <w:rPr>
          <w:rFonts w:eastAsiaTheme="minorEastAsia"/>
          <w:bCs/>
          <w:sz w:val="22"/>
          <w:szCs w:val="22"/>
        </w:rPr>
        <w:t> </w:t>
      </w:r>
      <w:bookmarkEnd w:id="13"/>
      <w:r w:rsidR="00C0677F" w:rsidRPr="00C0677F">
        <w:rPr>
          <w:rFonts w:eastAsiaTheme="minorEastAsia"/>
          <w:bCs/>
          <w:sz w:val="22"/>
          <w:szCs w:val="22"/>
        </w:rPr>
        <w:t>2) plaatinapõhine (tsisplatiin või karboplatiin) kombinatsioonravi pemetrekseediga kaugelearenenud EGFR-mutatsioonita mittelamerakk-kopsuvähi korral 1. rea ravis;</w:t>
      </w:r>
      <w:r w:rsidR="00C0677F" w:rsidRPr="00C0677F">
        <w:rPr>
          <w:rFonts w:eastAsiaTheme="minorEastAsia"/>
          <w:bCs/>
          <w:sz w:val="22"/>
          <w:szCs w:val="22"/>
        </w:rPr>
        <w:br/>
      </w:r>
      <w:bookmarkStart w:id="14" w:name="para60lg19p3"/>
      <w:r w:rsidR="00C0677F" w:rsidRPr="00C0677F">
        <w:rPr>
          <w:rFonts w:eastAsiaTheme="minorEastAsia"/>
          <w:bCs/>
          <w:sz w:val="22"/>
          <w:szCs w:val="22"/>
        </w:rPr>
        <w:t> </w:t>
      </w:r>
      <w:bookmarkEnd w:id="14"/>
      <w:r w:rsidR="00C0677F" w:rsidRPr="00C0677F">
        <w:rPr>
          <w:rFonts w:eastAsiaTheme="minorEastAsia"/>
          <w:bCs/>
          <w:sz w:val="22"/>
          <w:szCs w:val="22"/>
        </w:rPr>
        <w:t>3) pemetrekseedi monoravi kaugelearenenud EGFR-mutatsioonita mittelamerakk-kopsuvähi korral säilitusraviks patsiendil, kelle haigus ei ole progresseerunud vahetult pärast plaatinapõhist kombinatsioonravi, ning EGFR-mutatsioonita mittelamerakk-kopsuvähi 2. rea raviks, kui pemetrekseedi pole 1. reas kasutatud;</w:t>
      </w:r>
      <w:r w:rsidR="00C0677F" w:rsidRPr="00C0677F">
        <w:rPr>
          <w:rFonts w:eastAsiaTheme="minorEastAsia"/>
          <w:bCs/>
          <w:sz w:val="22"/>
          <w:szCs w:val="22"/>
        </w:rPr>
        <w:br/>
      </w:r>
      <w:bookmarkStart w:id="15" w:name="para60lg19p4"/>
      <w:r w:rsidR="00C0677F" w:rsidRPr="00C0677F">
        <w:rPr>
          <w:rFonts w:eastAsiaTheme="minorEastAsia"/>
          <w:bCs/>
          <w:sz w:val="22"/>
          <w:szCs w:val="22"/>
        </w:rPr>
        <w:t> </w:t>
      </w:r>
      <w:bookmarkEnd w:id="15"/>
      <w:r w:rsidR="00C0677F" w:rsidRPr="00C0677F">
        <w:rPr>
          <w:rFonts w:eastAsiaTheme="minorEastAsia"/>
          <w:bCs/>
          <w:sz w:val="22"/>
          <w:szCs w:val="22"/>
        </w:rPr>
        <w:t>4) TKI (erlotiniib, gefitiniib, afatiniib) kaugelearenenud EGFR-mutatsiooniga mitteväikerakk-kopsuvähi ravis;</w:t>
      </w:r>
      <w:r w:rsidR="00C0677F" w:rsidRPr="00C0677F">
        <w:rPr>
          <w:rFonts w:eastAsiaTheme="minorEastAsia"/>
          <w:bCs/>
          <w:sz w:val="22"/>
          <w:szCs w:val="22"/>
        </w:rPr>
        <w:br/>
      </w:r>
      <w:bookmarkStart w:id="16" w:name="para60lg19p5"/>
      <w:r w:rsidR="00C0677F" w:rsidRPr="00C0677F">
        <w:rPr>
          <w:rFonts w:eastAsiaTheme="minorEastAsia"/>
          <w:bCs/>
          <w:sz w:val="22"/>
          <w:szCs w:val="22"/>
        </w:rPr>
        <w:t> </w:t>
      </w:r>
      <w:bookmarkEnd w:id="16"/>
      <w:r w:rsidR="00C0677F" w:rsidRPr="00C0677F">
        <w:rPr>
          <w:rFonts w:eastAsiaTheme="minorEastAsia"/>
          <w:bCs/>
          <w:sz w:val="22"/>
          <w:szCs w:val="22"/>
        </w:rPr>
        <w:t>5) bevatsizumabi kombinatsioonravi paklitakseeli ja karboplatiiniga kaugelearenenud mittelamerakk-kopsuvähi 1. rea ravis heas üldseisundis patsientidel (ECOG 0 või 1) koos järgneva monoraviga, kui haigus ei ole progresseerunud pärast plaatinapõhist kombinatsioonravi;</w:t>
      </w:r>
      <w:r w:rsidR="00C0677F" w:rsidRPr="00C0677F">
        <w:rPr>
          <w:rFonts w:eastAsiaTheme="minorEastAsia"/>
          <w:bCs/>
          <w:sz w:val="22"/>
          <w:szCs w:val="22"/>
        </w:rPr>
        <w:br/>
      </w:r>
      <w:bookmarkStart w:id="17" w:name="para60lg19p6"/>
      <w:r w:rsidR="00C0677F" w:rsidRPr="00C0677F">
        <w:rPr>
          <w:rFonts w:eastAsiaTheme="minorEastAsia"/>
          <w:bCs/>
          <w:sz w:val="22"/>
          <w:szCs w:val="22"/>
        </w:rPr>
        <w:t> </w:t>
      </w:r>
      <w:bookmarkEnd w:id="17"/>
      <w:r w:rsidR="00C0677F" w:rsidRPr="00C0677F">
        <w:rPr>
          <w:rFonts w:eastAsiaTheme="minorEastAsia"/>
          <w:bCs/>
          <w:sz w:val="22"/>
          <w:szCs w:val="22"/>
        </w:rPr>
        <w:t>6) dotsetakseeli monoravi mitteväikerakk-kopsuvähi korral 2. rea ravis;</w:t>
      </w:r>
      <w:r w:rsidR="00C0677F" w:rsidRPr="00C0677F">
        <w:rPr>
          <w:rFonts w:eastAsiaTheme="minorEastAsia"/>
          <w:bCs/>
          <w:sz w:val="22"/>
          <w:szCs w:val="22"/>
        </w:rPr>
        <w:br/>
      </w:r>
      <w:bookmarkStart w:id="18" w:name="para60lg19p7"/>
      <w:r w:rsidR="00C0677F" w:rsidRPr="00C0677F">
        <w:rPr>
          <w:rFonts w:eastAsiaTheme="minorEastAsia"/>
          <w:bCs/>
          <w:sz w:val="22"/>
          <w:szCs w:val="22"/>
        </w:rPr>
        <w:lastRenderedPageBreak/>
        <w:t> </w:t>
      </w:r>
      <w:bookmarkEnd w:id="18"/>
      <w:r w:rsidR="00C0677F" w:rsidRPr="00C0677F">
        <w:rPr>
          <w:rFonts w:eastAsiaTheme="minorEastAsia"/>
          <w:bCs/>
          <w:sz w:val="22"/>
          <w:szCs w:val="22"/>
        </w:rPr>
        <w:t>7) plaatinapõhine (tsisplatiin või karboplatiin) kombinatsioonravi etoposiidiga kaugelearenenud väikerakk-kopsuvähi 1. rea ravis;</w:t>
      </w:r>
    </w:p>
    <w:p w14:paraId="079EC62C" w14:textId="77777777" w:rsidR="00C0677F" w:rsidRDefault="00611FA8" w:rsidP="00543824">
      <w:pPr>
        <w:pStyle w:val="Normaallaadveeb"/>
        <w:spacing w:before="120" w:beforeAutospacing="0" w:after="120" w:afterAutospacing="0" w:line="269" w:lineRule="auto"/>
        <w:ind w:left="60"/>
        <w:jc w:val="both"/>
        <w:rPr>
          <w:rFonts w:eastAsiaTheme="minorEastAsia"/>
          <w:bCs/>
          <w:sz w:val="22"/>
          <w:szCs w:val="22"/>
        </w:rPr>
      </w:pPr>
      <w:r>
        <w:rPr>
          <w:rFonts w:eastAsiaTheme="minorEastAsia"/>
          <w:bCs/>
          <w:sz w:val="22"/>
          <w:szCs w:val="22"/>
        </w:rPr>
        <w:t>Soodusravimite loetelu kaudu on kopsuvähi näidustusel (C33</w:t>
      </w:r>
      <w:r w:rsidR="005D4A83">
        <w:rPr>
          <w:rFonts w:eastAsiaTheme="minorEastAsia"/>
          <w:bCs/>
          <w:sz w:val="22"/>
          <w:szCs w:val="22"/>
        </w:rPr>
        <w:t xml:space="preserve"> </w:t>
      </w:r>
      <w:r>
        <w:rPr>
          <w:rFonts w:eastAsiaTheme="minorEastAsia"/>
          <w:bCs/>
          <w:sz w:val="22"/>
          <w:szCs w:val="22"/>
        </w:rPr>
        <w:t>-</w:t>
      </w:r>
      <w:r w:rsidR="005D4A83">
        <w:rPr>
          <w:rFonts w:eastAsiaTheme="minorEastAsia"/>
          <w:bCs/>
          <w:sz w:val="22"/>
          <w:szCs w:val="22"/>
        </w:rPr>
        <w:t xml:space="preserve"> </w:t>
      </w:r>
      <w:r>
        <w:rPr>
          <w:rFonts w:eastAsiaTheme="minorEastAsia"/>
          <w:bCs/>
          <w:sz w:val="22"/>
          <w:szCs w:val="22"/>
        </w:rPr>
        <w:t>C34)</w:t>
      </w:r>
      <w:r w:rsidR="007B3B80">
        <w:rPr>
          <w:rFonts w:eastAsiaTheme="minorEastAsia"/>
          <w:bCs/>
          <w:sz w:val="22"/>
          <w:szCs w:val="22"/>
        </w:rPr>
        <w:t xml:space="preserve"> 100% soodusmääraga</w:t>
      </w:r>
      <w:r>
        <w:rPr>
          <w:rFonts w:eastAsiaTheme="minorEastAsia"/>
          <w:bCs/>
          <w:sz w:val="22"/>
          <w:szCs w:val="22"/>
        </w:rPr>
        <w:t xml:space="preserve"> hüvitatavad toimeained etoposiid, deksametasoon ja prednisoloon. </w:t>
      </w:r>
    </w:p>
    <w:p w14:paraId="71252886" w14:textId="77777777" w:rsidR="0096295F" w:rsidRPr="001E543E" w:rsidRDefault="0096295F" w:rsidP="0096295F">
      <w:pPr>
        <w:spacing w:before="120" w:after="120" w:line="269" w:lineRule="auto"/>
        <w:jc w:val="both"/>
        <w:rPr>
          <w:rFonts w:ascii="Times New Roman" w:eastAsia="Times New Roman" w:hAnsi="Times New Roman" w:cs="Times New Roman"/>
          <w:b/>
          <w:bCs/>
          <w:u w:val="single"/>
          <w:lang w:eastAsia="et-EE"/>
        </w:rPr>
      </w:pPr>
      <w:r w:rsidRPr="001E543E">
        <w:rPr>
          <w:rFonts w:ascii="Times New Roman" w:eastAsia="Times New Roman" w:hAnsi="Times New Roman" w:cs="Times New Roman"/>
          <w:b/>
          <w:bCs/>
          <w:u w:val="single"/>
          <w:lang w:eastAsia="et-EE"/>
        </w:rPr>
        <w:t>Taotluse hindamine RaKS kriteeriumide alusel</w:t>
      </w:r>
    </w:p>
    <w:p w14:paraId="399092C4" w14:textId="77777777" w:rsidR="00711595" w:rsidRDefault="0096295F" w:rsidP="008823CB">
      <w:pPr>
        <w:spacing w:before="120" w:after="120" w:line="269" w:lineRule="auto"/>
        <w:jc w:val="both"/>
        <w:rPr>
          <w:rFonts w:ascii="Times New Roman" w:eastAsia="Calibri" w:hAnsi="Times New Roman" w:cs="Times New Roman"/>
          <w:b/>
          <w:lang w:eastAsia="et-EE"/>
        </w:rPr>
      </w:pPr>
      <w:r w:rsidRPr="001E543E">
        <w:rPr>
          <w:rFonts w:ascii="Times New Roman" w:eastAsia="Calibri" w:hAnsi="Times New Roman" w:cs="Times New Roman"/>
          <w:b/>
          <w:lang w:eastAsia="et-EE"/>
        </w:rPr>
        <w:t>Isiku vajadus saada ravimit tulenevalt tervishoiuteenuse osutamisest:</w:t>
      </w:r>
    </w:p>
    <w:p w14:paraId="7A5B4D3B" w14:textId="77777777" w:rsidR="00711595" w:rsidRPr="002B3530" w:rsidRDefault="00711595" w:rsidP="002B3530">
      <w:pPr>
        <w:spacing w:before="120" w:after="120" w:line="269" w:lineRule="auto"/>
        <w:jc w:val="both"/>
        <w:rPr>
          <w:rFonts w:ascii="Times New Roman" w:eastAsia="Calibri" w:hAnsi="Times New Roman" w:cs="Times New Roman"/>
          <w:b/>
          <w:lang w:eastAsia="et-EE"/>
        </w:rPr>
      </w:pPr>
      <w:r w:rsidRPr="002B3530">
        <w:rPr>
          <w:rFonts w:ascii="Times New Roman" w:eastAsiaTheme="minorEastAsia" w:hAnsi="Times New Roman" w:cs="Times New Roman"/>
          <w:bCs/>
          <w:lang w:eastAsia="et-EE"/>
        </w:rPr>
        <w:t>Kopsuvähk on üheks levinumaks pahaloomuliseks kasvajaks ja selle haiguse prognoos on mitmete teiste paikmete kasvajate prognoosist halvem. 2012 aastal oli kopsuvähk globaalselt enim</w:t>
      </w:r>
      <w:r w:rsidR="005D4A83">
        <w:rPr>
          <w:rFonts w:ascii="Times New Roman" w:eastAsiaTheme="minorEastAsia" w:hAnsi="Times New Roman" w:cs="Times New Roman"/>
          <w:bCs/>
          <w:lang w:eastAsia="et-EE"/>
        </w:rPr>
        <w:t xml:space="preserve"> </w:t>
      </w:r>
      <w:r w:rsidRPr="002B3530">
        <w:rPr>
          <w:rFonts w:ascii="Times New Roman" w:eastAsiaTheme="minorEastAsia" w:hAnsi="Times New Roman" w:cs="Times New Roman"/>
          <w:bCs/>
          <w:lang w:eastAsia="et-EE"/>
        </w:rPr>
        <w:t xml:space="preserve">diagnoositud vähiliik ning põhjustas kõige suurema osa vähisurmadest meestel. Samuti on kopsuvähk esirinnas vähisurma põhjuste seas naistel. Suurim osa kopsuvähi esmasdiagnoosidest </w:t>
      </w:r>
      <w:r w:rsidR="00A24EDF">
        <w:rPr>
          <w:rFonts w:ascii="Times New Roman" w:eastAsiaTheme="minorEastAsia" w:hAnsi="Times New Roman" w:cs="Times New Roman"/>
          <w:bCs/>
          <w:lang w:eastAsia="et-EE"/>
        </w:rPr>
        <w:t>pannakse</w:t>
      </w:r>
      <w:r w:rsidR="00A24EDF" w:rsidRPr="002B3530">
        <w:rPr>
          <w:rFonts w:ascii="Times New Roman" w:eastAsiaTheme="minorEastAsia" w:hAnsi="Times New Roman" w:cs="Times New Roman"/>
          <w:bCs/>
          <w:lang w:eastAsia="et-EE"/>
        </w:rPr>
        <w:t xml:space="preserve"> </w:t>
      </w:r>
      <w:r w:rsidRPr="002B3530">
        <w:rPr>
          <w:rFonts w:ascii="Times New Roman" w:eastAsiaTheme="minorEastAsia" w:hAnsi="Times New Roman" w:cs="Times New Roman"/>
          <w:bCs/>
          <w:lang w:eastAsia="et-EE"/>
        </w:rPr>
        <w:t xml:space="preserve">patsientidel vanuses üle 65 aasta. Kopsuvähist 85-90% on mitteväikerakuline kopsuvähk. </w:t>
      </w:r>
    </w:p>
    <w:p w14:paraId="1BAEBD15" w14:textId="77777777" w:rsidR="00711595" w:rsidRPr="002B3530" w:rsidRDefault="00711595" w:rsidP="002B3530">
      <w:pPr>
        <w:pStyle w:val="Normaallaadveeb"/>
        <w:spacing w:before="120" w:beforeAutospacing="0" w:after="120" w:afterAutospacing="0" w:line="269" w:lineRule="auto"/>
        <w:jc w:val="both"/>
        <w:rPr>
          <w:rFonts w:eastAsiaTheme="minorEastAsia"/>
          <w:bCs/>
          <w:sz w:val="22"/>
          <w:szCs w:val="22"/>
        </w:rPr>
      </w:pPr>
      <w:r w:rsidRPr="002B3530">
        <w:rPr>
          <w:rFonts w:eastAsiaTheme="minorEastAsia"/>
          <w:bCs/>
          <w:sz w:val="22"/>
          <w:szCs w:val="22"/>
        </w:rPr>
        <w:t xml:space="preserve">Maailma Terviseorganisatsiooni andmetel suri </w:t>
      </w:r>
      <w:r w:rsidR="00A24EDF">
        <w:rPr>
          <w:rFonts w:eastAsiaTheme="minorEastAsia"/>
          <w:bCs/>
          <w:sz w:val="22"/>
          <w:szCs w:val="22"/>
        </w:rPr>
        <w:t xml:space="preserve">maailmas </w:t>
      </w:r>
      <w:r w:rsidRPr="002B3530">
        <w:rPr>
          <w:rFonts w:eastAsiaTheme="minorEastAsia"/>
          <w:bCs/>
          <w:sz w:val="22"/>
          <w:szCs w:val="22"/>
        </w:rPr>
        <w:t>kopsuvähki 2012</w:t>
      </w:r>
      <w:r w:rsidR="00A24EDF">
        <w:rPr>
          <w:rFonts w:eastAsiaTheme="minorEastAsia"/>
          <w:bCs/>
          <w:sz w:val="22"/>
          <w:szCs w:val="22"/>
        </w:rPr>
        <w:t>.</w:t>
      </w:r>
      <w:r w:rsidRPr="002B3530">
        <w:rPr>
          <w:rFonts w:eastAsiaTheme="minorEastAsia"/>
          <w:bCs/>
          <w:sz w:val="22"/>
          <w:szCs w:val="22"/>
        </w:rPr>
        <w:t xml:space="preserve"> aastal umbes 1,37 miljonit inimest aastas, sellest hinnanguliselt 71% on seotud suitsetamisega, kuid umbes 400 000 juhtu esineb patsientidel, kes pole kunagi suitsetanud</w:t>
      </w:r>
      <w:r w:rsidR="005D4A83">
        <w:rPr>
          <w:rStyle w:val="Allmrkuseviide"/>
          <w:rFonts w:eastAsiaTheme="minorEastAsia"/>
          <w:bCs/>
          <w:sz w:val="22"/>
          <w:szCs w:val="22"/>
        </w:rPr>
        <w:footnoteReference w:id="2"/>
      </w:r>
      <w:r w:rsidRPr="002B3530">
        <w:rPr>
          <w:rFonts w:eastAsiaTheme="minorEastAsia"/>
          <w:bCs/>
          <w:sz w:val="22"/>
          <w:szCs w:val="22"/>
        </w:rPr>
        <w:t>. 2015 aastal suri kopsuvähki juba 1,69 miljonit inimest aastas</w:t>
      </w:r>
      <w:r w:rsidR="005D4A83">
        <w:rPr>
          <w:rStyle w:val="Allmrkuseviide"/>
          <w:rFonts w:eastAsiaTheme="minorEastAsia"/>
          <w:bCs/>
          <w:sz w:val="22"/>
          <w:szCs w:val="22"/>
        </w:rPr>
        <w:footnoteReference w:id="3"/>
      </w:r>
      <w:r w:rsidR="005D4A83">
        <w:rPr>
          <w:rFonts w:eastAsiaTheme="minorEastAsia"/>
          <w:bCs/>
          <w:sz w:val="22"/>
          <w:szCs w:val="22"/>
        </w:rPr>
        <w:t>.</w:t>
      </w:r>
    </w:p>
    <w:p w14:paraId="199890CB" w14:textId="77777777" w:rsidR="00611FA8" w:rsidRPr="002B3530" w:rsidRDefault="00711595" w:rsidP="002B3530">
      <w:pPr>
        <w:pStyle w:val="Normaallaadveeb"/>
        <w:spacing w:before="120" w:beforeAutospacing="0" w:after="120" w:afterAutospacing="0" w:line="269" w:lineRule="auto"/>
        <w:jc w:val="both"/>
        <w:rPr>
          <w:rFonts w:eastAsiaTheme="minorEastAsia"/>
          <w:bCs/>
          <w:sz w:val="22"/>
          <w:szCs w:val="22"/>
        </w:rPr>
      </w:pPr>
      <w:r w:rsidRPr="002B3530">
        <w:rPr>
          <w:rFonts w:eastAsiaTheme="minorEastAsia"/>
          <w:bCs/>
          <w:sz w:val="22"/>
          <w:szCs w:val="22"/>
        </w:rPr>
        <w:t>Eesti Vähiregistri päring 21.12.2017 näitas C33-C34 diagnoosiga 2015</w:t>
      </w:r>
      <w:r w:rsidR="00A24EDF">
        <w:rPr>
          <w:rFonts w:eastAsiaTheme="minorEastAsia"/>
          <w:bCs/>
          <w:sz w:val="22"/>
          <w:szCs w:val="22"/>
        </w:rPr>
        <w:t>.</w:t>
      </w:r>
      <w:r w:rsidRPr="002B3530">
        <w:rPr>
          <w:rFonts w:eastAsiaTheme="minorEastAsia"/>
          <w:bCs/>
          <w:sz w:val="22"/>
          <w:szCs w:val="22"/>
        </w:rPr>
        <w:t xml:space="preserve"> aastal 799 esmasjuhtu.</w:t>
      </w:r>
      <w:r w:rsidR="008823CB" w:rsidRPr="002B3530">
        <w:rPr>
          <w:rFonts w:eastAsiaTheme="minorEastAsia"/>
          <w:bCs/>
          <w:sz w:val="22"/>
          <w:szCs w:val="22"/>
        </w:rPr>
        <w:t xml:space="preserve"> Taotleja prognoosib patsientide arvuks järgneval kolmel aastal vastavalt 8, 15 ja 25 patsienti. </w:t>
      </w:r>
    </w:p>
    <w:p w14:paraId="0CF77E23" w14:textId="77777777" w:rsidR="00E43DCE" w:rsidRPr="002B3530" w:rsidRDefault="00E43DCE" w:rsidP="002B3530">
      <w:pPr>
        <w:spacing w:before="120" w:after="120" w:line="269" w:lineRule="auto"/>
        <w:jc w:val="both"/>
        <w:rPr>
          <w:rFonts w:ascii="Times New Roman" w:eastAsia="Calibri" w:hAnsi="Times New Roman" w:cs="Times New Roman"/>
          <w:b/>
          <w:lang w:eastAsia="et-EE"/>
        </w:rPr>
      </w:pPr>
      <w:r w:rsidRPr="002B3530">
        <w:rPr>
          <w:rFonts w:ascii="Times New Roman" w:eastAsia="Calibri" w:hAnsi="Times New Roman" w:cs="Times New Roman"/>
          <w:b/>
          <w:lang w:eastAsia="et-EE"/>
        </w:rPr>
        <w:t xml:space="preserve">Alternatiivsete ravimite või raviviiside olemasolu: </w:t>
      </w:r>
    </w:p>
    <w:p w14:paraId="0DAEB5A5" w14:textId="77777777" w:rsidR="00E43DCE" w:rsidRPr="002B3530" w:rsidRDefault="00E43DCE" w:rsidP="002B3530">
      <w:pPr>
        <w:spacing w:before="120" w:after="120" w:line="269" w:lineRule="auto"/>
        <w:jc w:val="both"/>
        <w:rPr>
          <w:rFonts w:ascii="Times New Roman" w:eastAsiaTheme="minorEastAsia" w:hAnsi="Times New Roman" w:cs="Times New Roman"/>
          <w:lang w:eastAsia="et-EE"/>
        </w:rPr>
      </w:pPr>
      <w:r w:rsidRPr="002B3530">
        <w:rPr>
          <w:rFonts w:ascii="Times New Roman" w:eastAsiaTheme="minorEastAsia" w:hAnsi="Times New Roman" w:cs="Times New Roman"/>
          <w:lang w:eastAsia="et-EE"/>
        </w:rPr>
        <w:t xml:space="preserve">Tervishoiuteenuste ja soodusravimite loetelu kaudu hüvitatavad ravimid, sh intravenoosne vinorelbiin. </w:t>
      </w:r>
    </w:p>
    <w:p w14:paraId="027B45E0" w14:textId="77777777" w:rsidR="00E43DCE" w:rsidRPr="002B3530" w:rsidRDefault="00E43DCE" w:rsidP="002B3530">
      <w:pPr>
        <w:spacing w:before="120" w:after="120" w:line="269" w:lineRule="auto"/>
        <w:jc w:val="both"/>
        <w:rPr>
          <w:rFonts w:ascii="Times New Roman" w:eastAsia="Calibri" w:hAnsi="Times New Roman" w:cs="Times New Roman"/>
          <w:b/>
          <w:lang w:eastAsia="et-EE"/>
        </w:rPr>
      </w:pPr>
      <w:r w:rsidRPr="002B3530">
        <w:rPr>
          <w:rFonts w:ascii="Times New Roman" w:eastAsia="Calibri" w:hAnsi="Times New Roman" w:cs="Times New Roman"/>
          <w:b/>
          <w:lang w:eastAsia="et-EE"/>
        </w:rPr>
        <w:t>Ravimi tõendatud efektiivsus ja ohutus:</w:t>
      </w:r>
    </w:p>
    <w:p w14:paraId="4E344810" w14:textId="77777777" w:rsidR="00374D9E" w:rsidRPr="002B3530" w:rsidRDefault="00374D9E" w:rsidP="002B3530">
      <w:pPr>
        <w:spacing w:before="120" w:after="120" w:line="269" w:lineRule="auto"/>
        <w:jc w:val="both"/>
        <w:rPr>
          <w:rFonts w:ascii="Times New Roman" w:eastAsiaTheme="minorEastAsia" w:hAnsi="Times New Roman" w:cs="Times New Roman"/>
          <w:bCs/>
          <w:lang w:eastAsia="et-EE"/>
        </w:rPr>
      </w:pPr>
      <w:r w:rsidRPr="002B3530">
        <w:rPr>
          <w:rFonts w:ascii="Times New Roman" w:eastAsiaTheme="minorEastAsia" w:hAnsi="Times New Roman" w:cs="Times New Roman"/>
          <w:bCs/>
          <w:lang w:eastAsia="et-EE"/>
        </w:rPr>
        <w:t>Taotleja on esitanud II faasi uuringu, mis võrdles suukaudselt</w:t>
      </w:r>
      <w:r w:rsidR="008C3CB8">
        <w:rPr>
          <w:rFonts w:ascii="Times New Roman" w:eastAsiaTheme="minorEastAsia" w:hAnsi="Times New Roman" w:cs="Times New Roman"/>
          <w:bCs/>
          <w:lang w:eastAsia="et-EE"/>
        </w:rPr>
        <w:t xml:space="preserve"> (p.o.)</w:t>
      </w:r>
      <w:r w:rsidRPr="002B3530">
        <w:rPr>
          <w:rFonts w:ascii="Times New Roman" w:eastAsiaTheme="minorEastAsia" w:hAnsi="Times New Roman" w:cs="Times New Roman"/>
          <w:bCs/>
          <w:lang w:eastAsia="et-EE"/>
        </w:rPr>
        <w:t xml:space="preserve"> ja intravenoosselt</w:t>
      </w:r>
      <w:r w:rsidR="008C3CB8">
        <w:rPr>
          <w:rFonts w:ascii="Times New Roman" w:eastAsiaTheme="minorEastAsia" w:hAnsi="Times New Roman" w:cs="Times New Roman"/>
          <w:bCs/>
          <w:lang w:eastAsia="et-EE"/>
        </w:rPr>
        <w:t xml:space="preserve"> (i.v.)</w:t>
      </w:r>
      <w:r w:rsidRPr="002B3530">
        <w:rPr>
          <w:rFonts w:ascii="Times New Roman" w:eastAsiaTheme="minorEastAsia" w:hAnsi="Times New Roman" w:cs="Times New Roman"/>
          <w:bCs/>
          <w:lang w:eastAsia="et-EE"/>
        </w:rPr>
        <w:t xml:space="preserve"> manustatavat vinorelbiini </w:t>
      </w:r>
      <w:r w:rsidR="008C3CB8">
        <w:rPr>
          <w:rFonts w:ascii="Times New Roman" w:eastAsiaTheme="minorEastAsia" w:hAnsi="Times New Roman" w:cs="Times New Roman"/>
          <w:bCs/>
          <w:lang w:eastAsia="et-EE"/>
        </w:rPr>
        <w:t xml:space="preserve">lokaalselt arenenud või metastaatilise </w:t>
      </w:r>
      <w:r w:rsidRPr="002B3530">
        <w:rPr>
          <w:rFonts w:ascii="Times New Roman" w:eastAsiaTheme="minorEastAsia" w:hAnsi="Times New Roman" w:cs="Times New Roman"/>
          <w:bCs/>
          <w:lang w:eastAsia="et-EE"/>
        </w:rPr>
        <w:t xml:space="preserve">mitteväikerakk-kopsuvähi patsientidel </w:t>
      </w:r>
      <w:r w:rsidRPr="008C3CB8">
        <w:rPr>
          <w:rFonts w:ascii="Times New Roman" w:eastAsiaTheme="minorEastAsia" w:hAnsi="Times New Roman" w:cs="Times New Roman"/>
          <w:bCs/>
          <w:lang w:eastAsia="et-EE"/>
        </w:rPr>
        <w:t xml:space="preserve">(Jassem </w:t>
      </w:r>
      <w:r w:rsidRPr="008C3CB8">
        <w:rPr>
          <w:rFonts w:ascii="Times New Roman" w:eastAsiaTheme="minorEastAsia" w:hAnsi="Times New Roman" w:cs="Times New Roman"/>
          <w:bCs/>
          <w:i/>
          <w:lang w:eastAsia="et-EE"/>
        </w:rPr>
        <w:t>et al</w:t>
      </w:r>
      <w:r w:rsidRPr="008C3CB8">
        <w:rPr>
          <w:rFonts w:ascii="Times New Roman" w:eastAsiaTheme="minorEastAsia" w:hAnsi="Times New Roman" w:cs="Times New Roman"/>
          <w:bCs/>
          <w:lang w:eastAsia="et-EE"/>
        </w:rPr>
        <w:t xml:space="preserve">. 2001). </w:t>
      </w:r>
      <w:r w:rsidRPr="002B3530">
        <w:rPr>
          <w:rFonts w:ascii="Times New Roman" w:eastAsiaTheme="minorEastAsia" w:hAnsi="Times New Roman" w:cs="Times New Roman"/>
          <w:bCs/>
          <w:lang w:eastAsia="et-EE"/>
        </w:rPr>
        <w:t>76 patsienti said vinorelbiini suu</w:t>
      </w:r>
      <w:r w:rsidR="00A24EDF">
        <w:rPr>
          <w:rFonts w:ascii="Times New Roman" w:eastAsiaTheme="minorEastAsia" w:hAnsi="Times New Roman" w:cs="Times New Roman"/>
          <w:bCs/>
          <w:lang w:eastAsia="et-EE"/>
        </w:rPr>
        <w:t xml:space="preserve"> </w:t>
      </w:r>
      <w:r w:rsidRPr="002B3530">
        <w:rPr>
          <w:rFonts w:ascii="Times New Roman" w:eastAsiaTheme="minorEastAsia" w:hAnsi="Times New Roman" w:cs="Times New Roman"/>
          <w:bCs/>
          <w:lang w:eastAsia="et-EE"/>
        </w:rPr>
        <w:t xml:space="preserve">kaudu ning 38 intravenoosselt. </w:t>
      </w:r>
    </w:p>
    <w:p w14:paraId="46BD75AA" w14:textId="77777777" w:rsidR="00374D9E" w:rsidRPr="002B3530" w:rsidRDefault="00374D9E" w:rsidP="002B3530">
      <w:pPr>
        <w:spacing w:before="120" w:after="120" w:line="269" w:lineRule="auto"/>
        <w:jc w:val="both"/>
        <w:rPr>
          <w:rFonts w:ascii="Times New Roman" w:eastAsiaTheme="minorEastAsia" w:hAnsi="Times New Roman" w:cs="Times New Roman"/>
          <w:bCs/>
          <w:lang w:eastAsia="et-EE"/>
        </w:rPr>
      </w:pPr>
      <w:r w:rsidRPr="002B3530">
        <w:rPr>
          <w:rFonts w:ascii="Times New Roman" w:eastAsiaTheme="minorEastAsia" w:hAnsi="Times New Roman" w:cs="Times New Roman"/>
          <w:bCs/>
          <w:lang w:eastAsia="et-EE"/>
        </w:rPr>
        <w:t>Ravile vastanuks hinnati 14% (95% UV 6% – 23%) suukaudse vinorelbiini patsientidest. Ravivastuse tekke mediaan oli 8,7 nädalat ning kestus 7,7 kuud. Intravenoosse manustamise rühmas oli ravivastuse määr 12% (95% UV 1% – 23%). Ravivastuse tekke mediaan oli 7,9 nädalat ning kestus 5,5 kuud.</w:t>
      </w:r>
      <w:r w:rsidR="000720D7">
        <w:rPr>
          <w:rFonts w:ascii="Times New Roman" w:eastAsiaTheme="minorEastAsia" w:hAnsi="Times New Roman" w:cs="Times New Roman"/>
          <w:bCs/>
          <w:lang w:eastAsia="et-EE"/>
        </w:rPr>
        <w:t xml:space="preserve"> </w:t>
      </w:r>
      <w:r w:rsidRPr="002B3530">
        <w:rPr>
          <w:rFonts w:ascii="Times New Roman" w:eastAsiaTheme="minorEastAsia" w:hAnsi="Times New Roman" w:cs="Times New Roman"/>
          <w:bCs/>
          <w:lang w:eastAsia="et-EE"/>
        </w:rPr>
        <w:t xml:space="preserve">Progressioonivaba </w:t>
      </w:r>
      <w:r w:rsidR="008C3CB8">
        <w:rPr>
          <w:rFonts w:ascii="Times New Roman" w:eastAsiaTheme="minorEastAsia" w:hAnsi="Times New Roman" w:cs="Times New Roman"/>
          <w:bCs/>
          <w:lang w:eastAsia="et-EE"/>
        </w:rPr>
        <w:t>perioodi</w:t>
      </w:r>
      <w:r w:rsidRPr="002B3530">
        <w:rPr>
          <w:rFonts w:ascii="Times New Roman" w:eastAsiaTheme="minorEastAsia" w:hAnsi="Times New Roman" w:cs="Times New Roman"/>
          <w:bCs/>
          <w:lang w:eastAsia="et-EE"/>
        </w:rPr>
        <w:t xml:space="preserve"> mediaan oli 3,2 kuud </w:t>
      </w:r>
      <w:r w:rsidR="008C3CB8">
        <w:rPr>
          <w:rFonts w:ascii="Times New Roman" w:eastAsiaTheme="minorEastAsia" w:hAnsi="Times New Roman" w:cs="Times New Roman"/>
          <w:bCs/>
          <w:lang w:eastAsia="et-EE"/>
        </w:rPr>
        <w:t>suukaudse vinorelbiini</w:t>
      </w:r>
      <w:r w:rsidRPr="002B3530">
        <w:rPr>
          <w:rFonts w:ascii="Times New Roman" w:eastAsiaTheme="minorEastAsia" w:hAnsi="Times New Roman" w:cs="Times New Roman"/>
          <w:bCs/>
          <w:lang w:eastAsia="et-EE"/>
        </w:rPr>
        <w:t xml:space="preserve"> rühmas ning 2,1 kuud i</w:t>
      </w:r>
      <w:r w:rsidR="008C3CB8">
        <w:rPr>
          <w:rFonts w:ascii="Times New Roman" w:eastAsiaTheme="minorEastAsia" w:hAnsi="Times New Roman" w:cs="Times New Roman"/>
          <w:bCs/>
          <w:lang w:eastAsia="et-EE"/>
        </w:rPr>
        <w:t>ntravenoosse vinorelbiini</w:t>
      </w:r>
      <w:r w:rsidRPr="002B3530">
        <w:rPr>
          <w:rFonts w:ascii="Times New Roman" w:eastAsiaTheme="minorEastAsia" w:hAnsi="Times New Roman" w:cs="Times New Roman"/>
          <w:bCs/>
          <w:lang w:eastAsia="et-EE"/>
        </w:rPr>
        <w:t xml:space="preserve"> rühmas. </w:t>
      </w:r>
      <w:r w:rsidR="00A24EDF">
        <w:rPr>
          <w:rFonts w:ascii="Times New Roman" w:eastAsiaTheme="minorEastAsia" w:hAnsi="Times New Roman" w:cs="Times New Roman"/>
          <w:bCs/>
          <w:lang w:eastAsia="et-EE"/>
        </w:rPr>
        <w:t>E</w:t>
      </w:r>
      <w:r w:rsidRPr="002B3530">
        <w:rPr>
          <w:rFonts w:ascii="Times New Roman" w:eastAsiaTheme="minorEastAsia" w:hAnsi="Times New Roman" w:cs="Times New Roman"/>
          <w:bCs/>
          <w:lang w:eastAsia="et-EE"/>
        </w:rPr>
        <w:t xml:space="preserve">lulemuse mediaan oli vastavalt 9,3 kuud ja 7,9 kuud. </w:t>
      </w:r>
    </w:p>
    <w:p w14:paraId="6D57E228" w14:textId="77777777" w:rsidR="00374D9E" w:rsidRPr="002B3530" w:rsidRDefault="00374D9E" w:rsidP="002B3530">
      <w:pPr>
        <w:spacing w:before="120" w:after="120" w:line="269" w:lineRule="auto"/>
        <w:jc w:val="both"/>
        <w:rPr>
          <w:rFonts w:ascii="Times New Roman" w:eastAsiaTheme="minorEastAsia" w:hAnsi="Times New Roman" w:cs="Times New Roman"/>
          <w:bCs/>
          <w:lang w:eastAsia="et-EE"/>
        </w:rPr>
      </w:pPr>
      <w:r w:rsidRPr="002B3530">
        <w:rPr>
          <w:rFonts w:ascii="Times New Roman" w:eastAsiaTheme="minorEastAsia" w:hAnsi="Times New Roman" w:cs="Times New Roman"/>
          <w:bCs/>
          <w:lang w:eastAsia="et-EE"/>
        </w:rPr>
        <w:t xml:space="preserve">Kõige sagedasem hematoloogiline kõrvaltoime oli neutropeenia, mida esines 46% patsientidest p.o. rühmas ning 62% patsientidest i.v. rühmas. </w:t>
      </w:r>
    </w:p>
    <w:p w14:paraId="5F8C0BD8" w14:textId="77777777" w:rsidR="00374D9E" w:rsidRPr="002B3530" w:rsidRDefault="00EB75FA" w:rsidP="002B3530">
      <w:pPr>
        <w:spacing w:before="120" w:after="120" w:line="269" w:lineRule="auto"/>
        <w:jc w:val="both"/>
        <w:rPr>
          <w:rFonts w:ascii="Times New Roman" w:eastAsiaTheme="minorEastAsia" w:hAnsi="Times New Roman" w:cs="Times New Roman"/>
          <w:bCs/>
          <w:lang w:eastAsia="et-EE"/>
        </w:rPr>
      </w:pPr>
      <w:r w:rsidRPr="00EB75FA">
        <w:rPr>
          <w:rFonts w:ascii="Times New Roman" w:eastAsiaTheme="minorEastAsia" w:hAnsi="Times New Roman" w:cs="Times New Roman"/>
          <w:bCs/>
          <w:lang w:eastAsia="et-EE"/>
        </w:rPr>
        <w:t>R</w:t>
      </w:r>
      <w:r w:rsidR="00374D9E" w:rsidRPr="00EB75FA">
        <w:rPr>
          <w:rFonts w:ascii="Times New Roman" w:eastAsiaTheme="minorEastAsia" w:hAnsi="Times New Roman" w:cs="Times New Roman"/>
          <w:bCs/>
          <w:lang w:eastAsia="et-EE"/>
        </w:rPr>
        <w:t>etrospektiivse võrdlusuuring (Fløtten et al., 2016)</w:t>
      </w:r>
      <w:r w:rsidR="00374D9E" w:rsidRPr="002B3530">
        <w:rPr>
          <w:rFonts w:ascii="Times New Roman" w:eastAsiaTheme="minorEastAsia" w:hAnsi="Times New Roman" w:cs="Times New Roman"/>
          <w:bCs/>
          <w:lang w:eastAsia="et-EE"/>
        </w:rPr>
        <w:t xml:space="preserve"> koondas kolme Norra Kopsuvähi Uuringurühma läbiviidud uuringu tulemusi. Uuringutes osales kokku 590 mitte-väikerakk kopsuvähi patsienti, keda raviti esimese rea ravina karboplatiini ja vinorelbiiniga. Kahes uuringus kasutati intravenoosset vinorelbiini ja ühes suukaudset. </w:t>
      </w:r>
    </w:p>
    <w:p w14:paraId="1AAF4C4A" w14:textId="77777777" w:rsidR="002B3530" w:rsidRDefault="00374D9E" w:rsidP="002B3530">
      <w:pPr>
        <w:spacing w:before="120" w:after="120" w:line="269" w:lineRule="auto"/>
        <w:jc w:val="both"/>
        <w:rPr>
          <w:rFonts w:ascii="Times New Roman" w:eastAsiaTheme="minorEastAsia" w:hAnsi="Times New Roman" w:cs="Times New Roman"/>
          <w:bCs/>
          <w:lang w:eastAsia="et-EE"/>
        </w:rPr>
      </w:pPr>
      <w:r w:rsidRPr="002B3530">
        <w:rPr>
          <w:rFonts w:ascii="Times New Roman" w:eastAsiaTheme="minorEastAsia" w:hAnsi="Times New Roman" w:cs="Times New Roman"/>
          <w:bCs/>
          <w:lang w:eastAsia="et-EE"/>
        </w:rPr>
        <w:t>Üldine elulemus oli grupiti 7,0 ja 6,9 kuud. Ravijärgimuse, elukvaliteedi ja toksilisuse tulemused olid samuti sarnased. Suukaudse manustamisviisiga patsientidel esines vähem III ja IV astme leukopeeniat</w:t>
      </w:r>
      <w:r w:rsidR="00EB75FA">
        <w:rPr>
          <w:rFonts w:ascii="Times New Roman" w:eastAsiaTheme="minorEastAsia" w:hAnsi="Times New Roman" w:cs="Times New Roman"/>
          <w:bCs/>
          <w:lang w:eastAsia="et-EE"/>
        </w:rPr>
        <w:t>,</w:t>
      </w:r>
      <w:r w:rsidRPr="002B3530">
        <w:rPr>
          <w:rFonts w:ascii="Times New Roman" w:eastAsiaTheme="minorEastAsia" w:hAnsi="Times New Roman" w:cs="Times New Roman"/>
          <w:bCs/>
          <w:lang w:eastAsia="et-EE"/>
        </w:rPr>
        <w:t xml:space="preserve"> aneemiat ning kõhukinnisuse halvenemist. Samuti esines 6</w:t>
      </w:r>
      <w:r w:rsidR="00A24EDF">
        <w:rPr>
          <w:rFonts w:ascii="Times New Roman" w:eastAsiaTheme="minorEastAsia" w:hAnsi="Times New Roman" w:cs="Times New Roman"/>
          <w:bCs/>
          <w:lang w:eastAsia="et-EE"/>
        </w:rPr>
        <w:t>.</w:t>
      </w:r>
      <w:r w:rsidRPr="002B3530">
        <w:rPr>
          <w:rFonts w:ascii="Times New Roman" w:eastAsiaTheme="minorEastAsia" w:hAnsi="Times New Roman" w:cs="Times New Roman"/>
          <w:bCs/>
          <w:lang w:eastAsia="et-EE"/>
        </w:rPr>
        <w:t xml:space="preserve"> ja 9</w:t>
      </w:r>
      <w:r w:rsidR="00A24EDF">
        <w:rPr>
          <w:rFonts w:ascii="Times New Roman" w:eastAsiaTheme="minorEastAsia" w:hAnsi="Times New Roman" w:cs="Times New Roman"/>
          <w:bCs/>
          <w:lang w:eastAsia="et-EE"/>
        </w:rPr>
        <w:t>.</w:t>
      </w:r>
      <w:r w:rsidRPr="002B3530">
        <w:rPr>
          <w:rFonts w:ascii="Times New Roman" w:eastAsiaTheme="minorEastAsia" w:hAnsi="Times New Roman" w:cs="Times New Roman"/>
          <w:bCs/>
          <w:lang w:eastAsia="et-EE"/>
        </w:rPr>
        <w:t xml:space="preserve"> nädalal suukaudse ravi rühmas vähem perifeerset neuropaatiat ja 9</w:t>
      </w:r>
      <w:r w:rsidR="00A24EDF">
        <w:rPr>
          <w:rFonts w:ascii="Times New Roman" w:eastAsiaTheme="minorEastAsia" w:hAnsi="Times New Roman" w:cs="Times New Roman"/>
          <w:bCs/>
          <w:lang w:eastAsia="et-EE"/>
        </w:rPr>
        <w:t>.</w:t>
      </w:r>
      <w:r w:rsidRPr="002B3530">
        <w:rPr>
          <w:rFonts w:ascii="Times New Roman" w:eastAsiaTheme="minorEastAsia" w:hAnsi="Times New Roman" w:cs="Times New Roman"/>
          <w:bCs/>
          <w:lang w:eastAsia="et-EE"/>
        </w:rPr>
        <w:t xml:space="preserve"> ning 17</w:t>
      </w:r>
      <w:r w:rsidR="00A24EDF">
        <w:rPr>
          <w:rFonts w:ascii="Times New Roman" w:eastAsiaTheme="minorEastAsia" w:hAnsi="Times New Roman" w:cs="Times New Roman"/>
          <w:bCs/>
          <w:lang w:eastAsia="et-EE"/>
        </w:rPr>
        <w:t>.</w:t>
      </w:r>
      <w:r w:rsidRPr="002B3530">
        <w:rPr>
          <w:rFonts w:ascii="Times New Roman" w:eastAsiaTheme="minorEastAsia" w:hAnsi="Times New Roman" w:cs="Times New Roman"/>
          <w:bCs/>
          <w:lang w:eastAsia="et-EE"/>
        </w:rPr>
        <w:t xml:space="preserve"> nädalal düspnoed. Uurijad järeldasid, et vaatamata uuringu retrospektiivsele disainile võib öelda, et suukaudne vinorelbiin näib mitte-väikerakk kopsuvähi ravis sama efektiivne ning paremini talutav kui intravenoosne vinorelbiin.</w:t>
      </w:r>
    </w:p>
    <w:p w14:paraId="520E7F29" w14:textId="77777777" w:rsidR="00B02EC3" w:rsidRDefault="00B02EC3" w:rsidP="00B02EC3">
      <w:pPr>
        <w:spacing w:before="120" w:after="120" w:line="269" w:lineRule="auto"/>
        <w:jc w:val="both"/>
        <w:rPr>
          <w:rFonts w:ascii="Times New Roman" w:eastAsia="Calibri" w:hAnsi="Times New Roman" w:cs="Times New Roman"/>
          <w:b/>
          <w:lang w:eastAsia="et-EE"/>
        </w:rPr>
      </w:pPr>
      <w:r w:rsidRPr="00F86AEB">
        <w:rPr>
          <w:rFonts w:ascii="Times New Roman" w:eastAsia="Calibri" w:hAnsi="Times New Roman" w:cs="Times New Roman"/>
          <w:b/>
          <w:lang w:eastAsia="et-EE"/>
        </w:rPr>
        <w:lastRenderedPageBreak/>
        <w:t>Ravimi kasutamise majanduslik põhjendatus:</w:t>
      </w:r>
    </w:p>
    <w:p w14:paraId="11311E4A" w14:textId="113CB0BC" w:rsidR="00D3496D" w:rsidRDefault="00D3496D" w:rsidP="00B02EC3">
      <w:pPr>
        <w:pStyle w:val="Normaallaadveeb"/>
        <w:spacing w:before="120" w:beforeAutospacing="0" w:after="120" w:afterAutospacing="0" w:line="269" w:lineRule="auto"/>
        <w:jc w:val="both"/>
        <w:rPr>
          <w:rFonts w:eastAsiaTheme="minorEastAsia"/>
          <w:sz w:val="22"/>
          <w:szCs w:val="22"/>
          <w:lang w:eastAsia="en-US"/>
        </w:rPr>
      </w:pPr>
      <w:r w:rsidRPr="00D3496D">
        <w:rPr>
          <w:rFonts w:eastAsiaTheme="minorEastAsia"/>
          <w:sz w:val="22"/>
          <w:szCs w:val="22"/>
          <w:lang w:eastAsia="en-US"/>
        </w:rPr>
        <w:t xml:space="preserve">Kopsukasvaja näidustuse osas pole taotleja kuluanalüüsi esitanud. Haigekassa rahastab juba praegu teenuse 309R raames intravenoosse vinorelbiini kombinatsioonravi plaatinapõhise preparaadiga. Intravenoosse vinorelbiini kasutamisel lisandub ravimi maksumusele veel teenuse 7419 „Tsütostaatilise ravikuuri planeerimine ja manustamine, kuni 24 tundi“ maksumus. Juhul kui suukaudset vinorelbiini manustataks monoteraapias, siis sellele ühegi teenuse maksumust ei lisandu, kui aga kombinatsioonis intravenoosse plaatinapõhise preparaadiga lisandub selle maksumusele veel ka teenuse 309R ja 7419 maksumus. </w:t>
      </w:r>
      <w:r w:rsidR="000720D7">
        <w:rPr>
          <w:rFonts w:eastAsiaTheme="minorEastAsia"/>
          <w:sz w:val="22"/>
          <w:szCs w:val="22"/>
          <w:lang w:eastAsia="en-US"/>
        </w:rPr>
        <w:t xml:space="preserve">Taotletava hinna korral on suukaudse vinorelbiini maksumus </w:t>
      </w:r>
      <w:r w:rsidR="00AB1A50" w:rsidRPr="00AB1A50">
        <w:rPr>
          <w:rFonts w:eastAsiaTheme="minorEastAsia"/>
          <w:sz w:val="22"/>
          <w:szCs w:val="22"/>
          <w:highlight w:val="lightGray"/>
          <w:lang w:eastAsia="en-US"/>
        </w:rPr>
        <w:t>…</w:t>
      </w:r>
      <w:r w:rsidR="000720D7">
        <w:rPr>
          <w:rFonts w:eastAsiaTheme="minorEastAsia"/>
          <w:sz w:val="22"/>
          <w:szCs w:val="22"/>
          <w:lang w:eastAsia="en-US"/>
        </w:rPr>
        <w:t xml:space="preserve"> korda kallim intravenoosse vinorelbiini maksumusest. </w:t>
      </w:r>
    </w:p>
    <w:p w14:paraId="2463C0EB" w14:textId="77777777" w:rsidR="00B02EC3" w:rsidRPr="001E543E" w:rsidRDefault="00B02EC3" w:rsidP="00B02EC3">
      <w:pPr>
        <w:pStyle w:val="Normaallaadveeb"/>
        <w:spacing w:before="120" w:beforeAutospacing="0" w:after="120" w:afterAutospacing="0" w:line="269" w:lineRule="auto"/>
        <w:jc w:val="both"/>
        <w:rPr>
          <w:rFonts w:eastAsia="Calibri"/>
          <w:b/>
          <w:sz w:val="22"/>
          <w:szCs w:val="22"/>
        </w:rPr>
      </w:pPr>
      <w:r w:rsidRPr="001E543E">
        <w:rPr>
          <w:rFonts w:eastAsia="Calibri"/>
          <w:b/>
          <w:sz w:val="22"/>
          <w:szCs w:val="22"/>
        </w:rPr>
        <w:t>Mõju ravikindlustuse eelarvele:</w:t>
      </w:r>
    </w:p>
    <w:p w14:paraId="21ECCE84" w14:textId="26F09E19" w:rsidR="000E2BD0" w:rsidRPr="00B02EC3" w:rsidRDefault="00B02EC3" w:rsidP="000E2BD0">
      <w:pPr>
        <w:spacing w:before="120" w:after="120" w:line="269" w:lineRule="auto"/>
        <w:jc w:val="both"/>
        <w:rPr>
          <w:rFonts w:ascii="Times New Roman" w:eastAsiaTheme="minorEastAsia" w:hAnsi="Times New Roman" w:cs="Times New Roman"/>
          <w:lang w:eastAsia="et-EE"/>
        </w:rPr>
      </w:pPr>
      <w:r w:rsidRPr="001719EE">
        <w:rPr>
          <w:rFonts w:ascii="Times New Roman" w:eastAsiaTheme="minorEastAsia" w:hAnsi="Times New Roman" w:cs="Times New Roman"/>
          <w:lang w:eastAsia="et-EE"/>
        </w:rPr>
        <w:t xml:space="preserve">Lähtuvalt taotleja prognoosist oleks kulu mõlema näidustuse korral kokku </w:t>
      </w:r>
      <w:r>
        <w:rPr>
          <w:rFonts w:ascii="Times New Roman" w:eastAsiaTheme="minorEastAsia" w:hAnsi="Times New Roman" w:cs="Times New Roman"/>
          <w:lang w:eastAsia="et-EE"/>
        </w:rPr>
        <w:t>kolmanda</w:t>
      </w:r>
      <w:r w:rsidRPr="001719EE">
        <w:rPr>
          <w:rFonts w:ascii="Times New Roman" w:eastAsiaTheme="minorEastAsia" w:hAnsi="Times New Roman" w:cs="Times New Roman"/>
          <w:lang w:eastAsia="et-EE"/>
        </w:rPr>
        <w:t>l aastal</w:t>
      </w:r>
      <w:r w:rsidR="00FE3562">
        <w:rPr>
          <w:rFonts w:ascii="Times New Roman" w:eastAsiaTheme="minorEastAsia" w:hAnsi="Times New Roman" w:cs="Times New Roman"/>
          <w:lang w:eastAsia="et-EE"/>
        </w:rPr>
        <w:t xml:space="preserve"> </w:t>
      </w:r>
      <w:r w:rsidR="00AB1A50" w:rsidRPr="00AB1A50">
        <w:rPr>
          <w:rFonts w:ascii="Times New Roman" w:eastAsiaTheme="minorEastAsia" w:hAnsi="Times New Roman" w:cs="Times New Roman"/>
          <w:highlight w:val="lightGray"/>
          <w:lang w:eastAsia="et-EE"/>
        </w:rPr>
        <w:t>…</w:t>
      </w:r>
      <w:r>
        <w:rPr>
          <w:rFonts w:ascii="Times New Roman" w:eastAsiaTheme="minorEastAsia" w:hAnsi="Times New Roman" w:cs="Times New Roman"/>
          <w:lang w:eastAsia="et-EE"/>
        </w:rPr>
        <w:t xml:space="preserve"> eurot. </w:t>
      </w:r>
      <w:r w:rsidRPr="001719EE">
        <w:rPr>
          <w:rFonts w:ascii="Times New Roman" w:eastAsiaTheme="minorEastAsia" w:hAnsi="Times New Roman" w:cs="Times New Roman"/>
          <w:lang w:eastAsia="et-EE"/>
        </w:rPr>
        <w:t xml:space="preserve"> </w:t>
      </w:r>
    </w:p>
    <w:p w14:paraId="14BB5AF3" w14:textId="77777777" w:rsidR="002F6B29" w:rsidRDefault="002F6B29" w:rsidP="005B3B2C">
      <w:pPr>
        <w:spacing w:before="120" w:after="120" w:line="269" w:lineRule="auto"/>
        <w:jc w:val="both"/>
        <w:rPr>
          <w:rFonts w:ascii="Times New Roman" w:eastAsia="Times New Roman" w:hAnsi="Times New Roman" w:cs="Times New Roman"/>
          <w:b/>
          <w:u w:val="single"/>
          <w:lang w:eastAsia="et-EE"/>
        </w:rPr>
      </w:pPr>
      <w:r w:rsidRPr="00720299">
        <w:rPr>
          <w:rFonts w:ascii="Times New Roman" w:eastAsia="Times New Roman" w:hAnsi="Times New Roman" w:cs="Times New Roman"/>
          <w:b/>
          <w:u w:val="single"/>
          <w:lang w:eastAsia="et-EE"/>
        </w:rPr>
        <w:t>Diskussioon</w:t>
      </w:r>
    </w:p>
    <w:p w14:paraId="729CCA35" w14:textId="0A63908E" w:rsidR="000873B5" w:rsidRDefault="007877BE" w:rsidP="00187428">
      <w:pPr>
        <w:spacing w:before="120" w:after="120" w:line="269" w:lineRule="auto"/>
        <w:jc w:val="both"/>
        <w:rPr>
          <w:rFonts w:ascii="Times New Roman" w:eastAsiaTheme="minorEastAsia" w:hAnsi="Times New Roman" w:cs="Times New Roman"/>
          <w:bCs/>
          <w:lang w:eastAsia="et-EE"/>
        </w:rPr>
      </w:pPr>
      <w:r>
        <w:rPr>
          <w:rFonts w:ascii="Times New Roman" w:eastAsiaTheme="minorEastAsia" w:hAnsi="Times New Roman" w:cs="Times New Roman"/>
          <w:bCs/>
          <w:lang w:eastAsia="et-EE"/>
        </w:rPr>
        <w:t>Rinna</w:t>
      </w:r>
      <w:r w:rsidR="000873B5">
        <w:rPr>
          <w:rFonts w:ascii="Times New Roman" w:eastAsiaTheme="minorEastAsia" w:hAnsi="Times New Roman" w:cs="Times New Roman"/>
          <w:bCs/>
          <w:lang w:eastAsia="et-EE"/>
        </w:rPr>
        <w:t>kasvaja näidustusel esitatud kliinilise tõendusmaterjaliga ei ole vinorelbiini paremust olemasolevate ravivalikute ees tõendatud, patsientide prognoosi ei ole selgitatud ning ravimi hind ületab</w:t>
      </w:r>
      <w:r w:rsidR="00AB1A50">
        <w:rPr>
          <w:rFonts w:ascii="Times New Roman" w:eastAsiaTheme="minorEastAsia" w:hAnsi="Times New Roman" w:cs="Times New Roman"/>
          <w:bCs/>
          <w:lang w:eastAsia="et-EE"/>
        </w:rPr>
        <w:t xml:space="preserve"> </w:t>
      </w:r>
      <w:r w:rsidR="000873B5">
        <w:rPr>
          <w:rFonts w:ascii="Times New Roman" w:eastAsiaTheme="minorEastAsia" w:hAnsi="Times New Roman" w:cs="Times New Roman"/>
          <w:bCs/>
          <w:lang w:eastAsia="et-EE"/>
        </w:rPr>
        <w:t xml:space="preserve">juba hüvitatavate ravimite </w:t>
      </w:r>
      <w:r w:rsidR="000064F3">
        <w:rPr>
          <w:rFonts w:ascii="Times New Roman" w:eastAsiaTheme="minorEastAsia" w:hAnsi="Times New Roman" w:cs="Times New Roman"/>
          <w:bCs/>
          <w:lang w:eastAsia="et-EE"/>
        </w:rPr>
        <w:t>hin</w:t>
      </w:r>
      <w:r w:rsidR="009210A7">
        <w:rPr>
          <w:rFonts w:ascii="Times New Roman" w:eastAsiaTheme="minorEastAsia" w:hAnsi="Times New Roman" w:cs="Times New Roman"/>
          <w:bCs/>
          <w:lang w:eastAsia="et-EE"/>
        </w:rPr>
        <w:t xml:space="preserve">nataset. </w:t>
      </w:r>
      <w:r w:rsidR="000873B5">
        <w:rPr>
          <w:rFonts w:ascii="Times New Roman" w:eastAsiaTheme="minorEastAsia" w:hAnsi="Times New Roman" w:cs="Times New Roman"/>
          <w:bCs/>
          <w:lang w:eastAsia="et-EE"/>
        </w:rPr>
        <w:t xml:space="preserve">  </w:t>
      </w:r>
      <w:r>
        <w:rPr>
          <w:rFonts w:ascii="Times New Roman" w:eastAsiaTheme="minorEastAsia" w:hAnsi="Times New Roman" w:cs="Times New Roman"/>
          <w:bCs/>
          <w:lang w:eastAsia="et-EE"/>
        </w:rPr>
        <w:t xml:space="preserve"> </w:t>
      </w:r>
    </w:p>
    <w:p w14:paraId="04063A5C" w14:textId="77777777" w:rsidR="005218B8" w:rsidRDefault="009210A7" w:rsidP="00187428">
      <w:pPr>
        <w:spacing w:before="120" w:after="120" w:line="269" w:lineRule="auto"/>
        <w:jc w:val="both"/>
        <w:rPr>
          <w:rFonts w:ascii="Times New Roman" w:eastAsiaTheme="minorEastAsia" w:hAnsi="Times New Roman" w:cs="Times New Roman"/>
          <w:bCs/>
          <w:lang w:eastAsia="et-EE"/>
        </w:rPr>
      </w:pPr>
      <w:r>
        <w:rPr>
          <w:rFonts w:ascii="Times New Roman" w:eastAsiaTheme="minorEastAsia" w:hAnsi="Times New Roman" w:cs="Times New Roman"/>
          <w:bCs/>
          <w:lang w:eastAsia="et-EE"/>
        </w:rPr>
        <w:t xml:space="preserve">Kopsuvähi näidustusel arutleti ravimi vajaduse ja kasutatavate alternatiivide üle. </w:t>
      </w:r>
      <w:r w:rsidR="00A24EDF">
        <w:rPr>
          <w:rFonts w:ascii="Times New Roman" w:eastAsiaTheme="minorEastAsia" w:hAnsi="Times New Roman" w:cs="Times New Roman"/>
          <w:bCs/>
          <w:lang w:eastAsia="et-EE"/>
        </w:rPr>
        <w:t>Ei ole selge</w:t>
      </w:r>
      <w:r w:rsidR="00016405">
        <w:rPr>
          <w:rFonts w:ascii="Times New Roman" w:eastAsiaTheme="minorEastAsia" w:hAnsi="Times New Roman" w:cs="Times New Roman"/>
          <w:bCs/>
          <w:lang w:eastAsia="et-EE"/>
        </w:rPr>
        <w:t xml:space="preserve">, millel põhineb patsientide </w:t>
      </w:r>
      <w:r w:rsidR="00A24EDF">
        <w:rPr>
          <w:rFonts w:ascii="Times New Roman" w:eastAsiaTheme="minorEastAsia" w:hAnsi="Times New Roman" w:cs="Times New Roman"/>
          <w:bCs/>
          <w:lang w:eastAsia="et-EE"/>
        </w:rPr>
        <w:t xml:space="preserve">arvu </w:t>
      </w:r>
      <w:r w:rsidR="00016405">
        <w:rPr>
          <w:rFonts w:ascii="Times New Roman" w:eastAsiaTheme="minorEastAsia" w:hAnsi="Times New Roman" w:cs="Times New Roman"/>
          <w:bCs/>
          <w:lang w:eastAsia="et-EE"/>
        </w:rPr>
        <w:t>prognoos, mis on taotleja hinnangul järgneval kolmel aastal vastavalt 8, 15 ja 25 patsienti</w:t>
      </w:r>
      <w:r w:rsidR="00AE5C7F">
        <w:rPr>
          <w:rFonts w:ascii="Times New Roman" w:eastAsiaTheme="minorEastAsia" w:hAnsi="Times New Roman" w:cs="Times New Roman"/>
          <w:bCs/>
          <w:lang w:eastAsia="et-EE"/>
        </w:rPr>
        <w:t xml:space="preserve">. </w:t>
      </w:r>
      <w:r w:rsidR="00FC4E3F">
        <w:rPr>
          <w:rFonts w:ascii="Times New Roman" w:eastAsiaTheme="minorEastAsia" w:hAnsi="Times New Roman" w:cs="Times New Roman"/>
          <w:bCs/>
          <w:lang w:eastAsia="et-EE"/>
        </w:rPr>
        <w:t xml:space="preserve">Esitatud </w:t>
      </w:r>
      <w:r w:rsidR="007877BE">
        <w:rPr>
          <w:rFonts w:ascii="Times New Roman" w:eastAsiaTheme="minorEastAsia" w:hAnsi="Times New Roman" w:cs="Times New Roman"/>
          <w:bCs/>
          <w:lang w:eastAsia="et-EE"/>
        </w:rPr>
        <w:t>efektiivsusandmetest v</w:t>
      </w:r>
      <w:r w:rsidR="00187428" w:rsidRPr="003A3605">
        <w:rPr>
          <w:rFonts w:ascii="Times New Roman" w:eastAsiaTheme="minorEastAsia" w:hAnsi="Times New Roman" w:cs="Times New Roman"/>
          <w:bCs/>
          <w:lang w:eastAsia="et-EE"/>
        </w:rPr>
        <w:t xml:space="preserve">õib järeldada, et </w:t>
      </w:r>
      <w:r w:rsidR="00187428">
        <w:rPr>
          <w:rFonts w:ascii="Times New Roman" w:eastAsiaTheme="minorEastAsia" w:hAnsi="Times New Roman" w:cs="Times New Roman"/>
          <w:bCs/>
          <w:lang w:eastAsia="et-EE"/>
        </w:rPr>
        <w:t>suukaudselt manustatav</w:t>
      </w:r>
      <w:r w:rsidR="00187428" w:rsidRPr="003A3605">
        <w:rPr>
          <w:rFonts w:ascii="Times New Roman" w:eastAsiaTheme="minorEastAsia" w:hAnsi="Times New Roman" w:cs="Times New Roman"/>
          <w:bCs/>
          <w:lang w:eastAsia="et-EE"/>
        </w:rPr>
        <w:t xml:space="preserve"> </w:t>
      </w:r>
      <w:r w:rsidR="00187428">
        <w:rPr>
          <w:rFonts w:ascii="Times New Roman" w:eastAsiaTheme="minorEastAsia" w:hAnsi="Times New Roman" w:cs="Times New Roman"/>
          <w:bCs/>
          <w:lang w:eastAsia="et-EE"/>
        </w:rPr>
        <w:t>v</w:t>
      </w:r>
      <w:r w:rsidR="00187428" w:rsidRPr="003A3605">
        <w:rPr>
          <w:rFonts w:ascii="Times New Roman" w:eastAsiaTheme="minorEastAsia" w:hAnsi="Times New Roman" w:cs="Times New Roman"/>
          <w:bCs/>
          <w:lang w:eastAsia="et-EE"/>
        </w:rPr>
        <w:t xml:space="preserve">inorelbiin on tõenäoliselt </w:t>
      </w:r>
      <w:r w:rsidR="00FC4E3F">
        <w:rPr>
          <w:rFonts w:ascii="Times New Roman" w:eastAsiaTheme="minorEastAsia" w:hAnsi="Times New Roman" w:cs="Times New Roman"/>
          <w:bCs/>
          <w:lang w:eastAsia="et-EE"/>
        </w:rPr>
        <w:t>mitteväikerakk-kopsuvähi</w:t>
      </w:r>
      <w:r w:rsidR="00187428" w:rsidRPr="003A3605">
        <w:rPr>
          <w:rFonts w:ascii="Times New Roman" w:eastAsiaTheme="minorEastAsia" w:hAnsi="Times New Roman" w:cs="Times New Roman"/>
          <w:bCs/>
          <w:lang w:eastAsia="et-EE"/>
        </w:rPr>
        <w:t xml:space="preserve"> ravis sama efektiivne kui i</w:t>
      </w:r>
      <w:r w:rsidR="00187428">
        <w:rPr>
          <w:rFonts w:ascii="Times New Roman" w:eastAsiaTheme="minorEastAsia" w:hAnsi="Times New Roman" w:cs="Times New Roman"/>
          <w:bCs/>
          <w:lang w:eastAsia="et-EE"/>
        </w:rPr>
        <w:t>ntravenoosne</w:t>
      </w:r>
      <w:r w:rsidR="00187428" w:rsidRPr="003A3605">
        <w:rPr>
          <w:rFonts w:ascii="Times New Roman" w:eastAsiaTheme="minorEastAsia" w:hAnsi="Times New Roman" w:cs="Times New Roman"/>
          <w:bCs/>
          <w:lang w:eastAsia="et-EE"/>
        </w:rPr>
        <w:t xml:space="preserve"> ja </w:t>
      </w:r>
      <w:r w:rsidR="00FC4E3F">
        <w:rPr>
          <w:rFonts w:ascii="Times New Roman" w:eastAsiaTheme="minorEastAsia" w:hAnsi="Times New Roman" w:cs="Times New Roman"/>
          <w:bCs/>
          <w:lang w:eastAsia="et-EE"/>
        </w:rPr>
        <w:t xml:space="preserve">eksperdi </w:t>
      </w:r>
      <w:r w:rsidR="004635C8">
        <w:rPr>
          <w:rFonts w:ascii="Times New Roman" w:eastAsiaTheme="minorEastAsia" w:hAnsi="Times New Roman" w:cs="Times New Roman"/>
          <w:bCs/>
          <w:lang w:eastAsia="et-EE"/>
        </w:rPr>
        <w:t>hinnangul</w:t>
      </w:r>
      <w:r w:rsidR="00FC4E3F">
        <w:rPr>
          <w:rFonts w:ascii="Times New Roman" w:eastAsiaTheme="minorEastAsia" w:hAnsi="Times New Roman" w:cs="Times New Roman"/>
          <w:bCs/>
          <w:lang w:eastAsia="et-EE"/>
        </w:rPr>
        <w:t xml:space="preserve"> </w:t>
      </w:r>
      <w:r w:rsidR="00187428" w:rsidRPr="003A3605">
        <w:rPr>
          <w:rFonts w:ascii="Times New Roman" w:eastAsiaTheme="minorEastAsia" w:hAnsi="Times New Roman" w:cs="Times New Roman"/>
          <w:bCs/>
          <w:lang w:eastAsia="et-EE"/>
        </w:rPr>
        <w:t>patsiendile paremini taluta</w:t>
      </w:r>
      <w:r w:rsidR="00FC4E3F">
        <w:rPr>
          <w:rFonts w:ascii="Times New Roman" w:eastAsiaTheme="minorEastAsia" w:hAnsi="Times New Roman" w:cs="Times New Roman"/>
          <w:bCs/>
          <w:lang w:eastAsia="et-EE"/>
        </w:rPr>
        <w:t xml:space="preserve">v, põhjustades vähem perifeerseid neuropaatiaid ning infusioonist tingitud veenide ärritust. </w:t>
      </w:r>
      <w:r w:rsidR="00AE5C7F">
        <w:rPr>
          <w:rFonts w:ascii="Times New Roman" w:eastAsiaTheme="minorEastAsia" w:hAnsi="Times New Roman" w:cs="Times New Roman"/>
          <w:bCs/>
          <w:lang w:eastAsia="et-EE"/>
        </w:rPr>
        <w:t>Arutleti, milli</w:t>
      </w:r>
      <w:r w:rsidR="002C32AE">
        <w:rPr>
          <w:rFonts w:ascii="Times New Roman" w:eastAsiaTheme="minorEastAsia" w:hAnsi="Times New Roman" w:cs="Times New Roman"/>
          <w:bCs/>
          <w:lang w:eastAsia="et-EE"/>
        </w:rPr>
        <w:t>sel patsientide sihtrühmal</w:t>
      </w:r>
      <w:r w:rsidR="00AE5C7F">
        <w:rPr>
          <w:rFonts w:ascii="Times New Roman" w:eastAsiaTheme="minorEastAsia" w:hAnsi="Times New Roman" w:cs="Times New Roman"/>
          <w:bCs/>
          <w:lang w:eastAsia="et-EE"/>
        </w:rPr>
        <w:t xml:space="preserve"> on katmata ravivajadus ning nenditi, et </w:t>
      </w:r>
      <w:r w:rsidR="00A24EDF">
        <w:rPr>
          <w:rFonts w:ascii="Times New Roman" w:eastAsiaTheme="minorEastAsia" w:hAnsi="Times New Roman" w:cs="Times New Roman"/>
          <w:bCs/>
          <w:lang w:eastAsia="et-EE"/>
        </w:rPr>
        <w:t xml:space="preserve">võib olla </w:t>
      </w:r>
      <w:r w:rsidR="00AE5C7F">
        <w:rPr>
          <w:rFonts w:ascii="Times New Roman" w:eastAsiaTheme="minorEastAsia" w:hAnsi="Times New Roman" w:cs="Times New Roman"/>
          <w:bCs/>
          <w:lang w:eastAsia="et-EE"/>
        </w:rPr>
        <w:t>patsiente, kellele ei ole meditsiinilistel põhjustel võimalik enam intravenoosse vinorelbiini manustamiseks</w:t>
      </w:r>
      <w:r w:rsidR="00A24EDF" w:rsidRPr="00A24EDF">
        <w:rPr>
          <w:rFonts w:ascii="Times New Roman" w:eastAsiaTheme="minorEastAsia" w:hAnsi="Times New Roman" w:cs="Times New Roman"/>
          <w:bCs/>
          <w:lang w:eastAsia="et-EE"/>
        </w:rPr>
        <w:t xml:space="preserve"> </w:t>
      </w:r>
      <w:r w:rsidR="00A24EDF">
        <w:rPr>
          <w:rFonts w:ascii="Times New Roman" w:eastAsiaTheme="minorEastAsia" w:hAnsi="Times New Roman" w:cs="Times New Roman"/>
          <w:bCs/>
          <w:lang w:eastAsia="et-EE"/>
        </w:rPr>
        <w:t>kanüüli paigaldada</w:t>
      </w:r>
      <w:r w:rsidR="00AE5C7F">
        <w:rPr>
          <w:rFonts w:ascii="Times New Roman" w:eastAsiaTheme="minorEastAsia" w:hAnsi="Times New Roman" w:cs="Times New Roman"/>
          <w:bCs/>
          <w:lang w:eastAsia="et-EE"/>
        </w:rPr>
        <w:t xml:space="preserve">. </w:t>
      </w:r>
      <w:r w:rsidR="00A24EDF">
        <w:rPr>
          <w:rFonts w:ascii="Times New Roman" w:eastAsiaTheme="minorEastAsia" w:hAnsi="Times New Roman" w:cs="Times New Roman"/>
          <w:bCs/>
          <w:lang w:eastAsia="et-EE"/>
        </w:rPr>
        <w:t>Sel juhul</w:t>
      </w:r>
      <w:r w:rsidR="002C32AE">
        <w:rPr>
          <w:rFonts w:ascii="Times New Roman" w:eastAsiaTheme="minorEastAsia" w:hAnsi="Times New Roman" w:cs="Times New Roman"/>
          <w:bCs/>
          <w:lang w:eastAsia="et-EE"/>
        </w:rPr>
        <w:t xml:space="preserve"> oleks suukaudne vinorelbiin sobilik alternatiiv.  </w:t>
      </w:r>
    </w:p>
    <w:p w14:paraId="7DF98C7F" w14:textId="77777777" w:rsidR="00187428" w:rsidRPr="008334B2" w:rsidRDefault="007A23E2" w:rsidP="00D33CBA">
      <w:pPr>
        <w:spacing w:before="120" w:after="120" w:line="269" w:lineRule="auto"/>
        <w:jc w:val="both"/>
        <w:rPr>
          <w:rFonts w:ascii="Times New Roman" w:eastAsiaTheme="minorEastAsia" w:hAnsi="Times New Roman" w:cs="Times New Roman"/>
          <w:bCs/>
          <w:lang w:eastAsia="et-EE"/>
        </w:rPr>
      </w:pPr>
      <w:r>
        <w:rPr>
          <w:rFonts w:ascii="Times New Roman" w:eastAsiaTheme="minorEastAsia" w:hAnsi="Times New Roman" w:cs="Times New Roman"/>
          <w:bCs/>
          <w:lang w:eastAsia="et-EE"/>
        </w:rPr>
        <w:t>Kokkuvõttes leiti, et e</w:t>
      </w:r>
      <w:r w:rsidR="005218B8">
        <w:rPr>
          <w:rFonts w:ascii="Times New Roman" w:eastAsiaTheme="minorEastAsia" w:hAnsi="Times New Roman" w:cs="Times New Roman"/>
          <w:bCs/>
          <w:lang w:eastAsia="et-EE"/>
        </w:rPr>
        <w:t>fektiivsuse andmed on äärmiselt ebakindlad, elukvaliteedi andmed puuduvad</w:t>
      </w:r>
      <w:r w:rsidR="00D33CBA">
        <w:rPr>
          <w:rFonts w:ascii="Times New Roman" w:eastAsiaTheme="minorEastAsia" w:hAnsi="Times New Roman" w:cs="Times New Roman"/>
          <w:bCs/>
          <w:lang w:eastAsia="et-EE"/>
        </w:rPr>
        <w:t xml:space="preserve"> ja kulutõhususe analüüsi ei ole esitatud</w:t>
      </w:r>
      <w:r w:rsidR="00A24EDF">
        <w:rPr>
          <w:rFonts w:ascii="Times New Roman" w:eastAsiaTheme="minorEastAsia" w:hAnsi="Times New Roman" w:cs="Times New Roman"/>
          <w:bCs/>
          <w:lang w:eastAsia="et-EE"/>
        </w:rPr>
        <w:t xml:space="preserve">. Seetõttu </w:t>
      </w:r>
      <w:r w:rsidR="005218B8">
        <w:rPr>
          <w:rFonts w:ascii="Times New Roman" w:eastAsiaTheme="minorEastAsia" w:hAnsi="Times New Roman" w:cs="Times New Roman"/>
          <w:bCs/>
          <w:lang w:eastAsia="et-EE"/>
        </w:rPr>
        <w:t xml:space="preserve"> on komisjoni hinnangul võimatu öelda, </w:t>
      </w:r>
      <w:r w:rsidR="00D33CBA">
        <w:rPr>
          <w:rFonts w:ascii="Times New Roman" w:eastAsiaTheme="minorEastAsia" w:hAnsi="Times New Roman" w:cs="Times New Roman"/>
          <w:bCs/>
          <w:lang w:eastAsia="et-EE"/>
        </w:rPr>
        <w:t xml:space="preserve">kas suukaudne </w:t>
      </w:r>
      <w:r w:rsidR="00896B01">
        <w:rPr>
          <w:rFonts w:ascii="Times New Roman" w:eastAsiaTheme="minorEastAsia" w:hAnsi="Times New Roman" w:cs="Times New Roman"/>
          <w:bCs/>
          <w:lang w:eastAsia="et-EE"/>
        </w:rPr>
        <w:t>preparaat (</w:t>
      </w:r>
      <w:r w:rsidR="00D33CBA">
        <w:rPr>
          <w:rFonts w:ascii="Times New Roman" w:eastAsiaTheme="minorEastAsia" w:hAnsi="Times New Roman" w:cs="Times New Roman"/>
          <w:bCs/>
          <w:lang w:eastAsia="et-EE"/>
        </w:rPr>
        <w:t>lisaks kasutamismugavusele</w:t>
      </w:r>
      <w:r w:rsidR="00896B01">
        <w:rPr>
          <w:rFonts w:ascii="Times New Roman" w:eastAsiaTheme="minorEastAsia" w:hAnsi="Times New Roman" w:cs="Times New Roman"/>
          <w:bCs/>
          <w:lang w:eastAsia="et-EE"/>
        </w:rPr>
        <w:t>)</w:t>
      </w:r>
      <w:r w:rsidR="00D33CBA">
        <w:rPr>
          <w:rFonts w:ascii="Times New Roman" w:eastAsiaTheme="minorEastAsia" w:hAnsi="Times New Roman" w:cs="Times New Roman"/>
          <w:bCs/>
          <w:lang w:eastAsia="et-EE"/>
        </w:rPr>
        <w:t xml:space="preserve"> </w:t>
      </w:r>
      <w:r w:rsidR="004C4F44">
        <w:rPr>
          <w:rFonts w:ascii="Times New Roman" w:eastAsiaTheme="minorEastAsia" w:hAnsi="Times New Roman" w:cs="Times New Roman"/>
          <w:bCs/>
          <w:lang w:eastAsia="et-EE"/>
        </w:rPr>
        <w:t xml:space="preserve">ka </w:t>
      </w:r>
      <w:r w:rsidR="00896B01">
        <w:rPr>
          <w:rFonts w:ascii="Times New Roman" w:eastAsiaTheme="minorEastAsia" w:hAnsi="Times New Roman" w:cs="Times New Roman"/>
          <w:bCs/>
          <w:lang w:eastAsia="et-EE"/>
        </w:rPr>
        <w:t>paremini talutav on.</w:t>
      </w:r>
      <w:r>
        <w:rPr>
          <w:rFonts w:ascii="Times New Roman" w:eastAsiaTheme="minorEastAsia" w:hAnsi="Times New Roman" w:cs="Times New Roman"/>
          <w:bCs/>
          <w:lang w:eastAsia="et-EE"/>
        </w:rPr>
        <w:t xml:space="preserve"> </w:t>
      </w:r>
      <w:r w:rsidR="00896B01">
        <w:rPr>
          <w:rFonts w:ascii="Times New Roman" w:eastAsiaTheme="minorEastAsia" w:hAnsi="Times New Roman" w:cs="Times New Roman"/>
          <w:bCs/>
          <w:lang w:eastAsia="et-EE"/>
        </w:rPr>
        <w:t xml:space="preserve">Nenditi, et </w:t>
      </w:r>
      <w:r w:rsidR="008C0A3E">
        <w:rPr>
          <w:rFonts w:ascii="Times New Roman" w:eastAsiaTheme="minorEastAsia" w:hAnsi="Times New Roman" w:cs="Times New Roman"/>
          <w:bCs/>
          <w:lang w:eastAsia="et-EE"/>
        </w:rPr>
        <w:t>esineb katmata ravivajadus patsientidel</w:t>
      </w:r>
      <w:r w:rsidR="00896B01">
        <w:rPr>
          <w:rFonts w:ascii="Times New Roman" w:eastAsiaTheme="minorEastAsia" w:hAnsi="Times New Roman" w:cs="Times New Roman"/>
          <w:bCs/>
          <w:lang w:eastAsia="et-EE"/>
        </w:rPr>
        <w:t xml:space="preserve">, kellel taotletavat ravimit on </w:t>
      </w:r>
      <w:r w:rsidR="008C0A3E">
        <w:rPr>
          <w:rFonts w:ascii="Times New Roman" w:eastAsiaTheme="minorEastAsia" w:hAnsi="Times New Roman" w:cs="Times New Roman"/>
          <w:bCs/>
          <w:lang w:eastAsia="et-EE"/>
        </w:rPr>
        <w:t xml:space="preserve">haiguse raviks </w:t>
      </w:r>
      <w:r w:rsidR="00896B01">
        <w:rPr>
          <w:rFonts w:ascii="Times New Roman" w:eastAsiaTheme="minorEastAsia" w:hAnsi="Times New Roman" w:cs="Times New Roman"/>
          <w:bCs/>
          <w:lang w:eastAsia="et-EE"/>
        </w:rPr>
        <w:t>vaja</w:t>
      </w:r>
      <w:r w:rsidR="00A24EDF">
        <w:rPr>
          <w:rFonts w:ascii="Times New Roman" w:eastAsiaTheme="minorEastAsia" w:hAnsi="Times New Roman" w:cs="Times New Roman"/>
          <w:bCs/>
          <w:lang w:eastAsia="et-EE"/>
        </w:rPr>
        <w:t>,</w:t>
      </w:r>
      <w:r w:rsidR="00896B01">
        <w:rPr>
          <w:rFonts w:ascii="Times New Roman" w:eastAsiaTheme="minorEastAsia" w:hAnsi="Times New Roman" w:cs="Times New Roman"/>
          <w:bCs/>
          <w:lang w:eastAsia="et-EE"/>
        </w:rPr>
        <w:t xml:space="preserve"> ent </w:t>
      </w:r>
      <w:r w:rsidR="00A24EDF">
        <w:rPr>
          <w:rFonts w:ascii="Times New Roman" w:eastAsiaTheme="minorEastAsia" w:hAnsi="Times New Roman" w:cs="Times New Roman"/>
          <w:bCs/>
          <w:lang w:eastAsia="et-EE"/>
        </w:rPr>
        <w:t>seda</w:t>
      </w:r>
      <w:r w:rsidR="00896B01">
        <w:rPr>
          <w:rFonts w:ascii="Times New Roman" w:eastAsiaTheme="minorEastAsia" w:hAnsi="Times New Roman" w:cs="Times New Roman"/>
          <w:bCs/>
          <w:lang w:eastAsia="et-EE"/>
        </w:rPr>
        <w:t xml:space="preserve"> ei ole võimalik </w:t>
      </w:r>
      <w:r w:rsidR="00A24EDF">
        <w:rPr>
          <w:rFonts w:ascii="Times New Roman" w:eastAsiaTheme="minorEastAsia" w:hAnsi="Times New Roman" w:cs="Times New Roman"/>
          <w:bCs/>
          <w:lang w:eastAsia="et-EE"/>
        </w:rPr>
        <w:t xml:space="preserve">veeni </w:t>
      </w:r>
      <w:r w:rsidR="00896B01">
        <w:rPr>
          <w:rFonts w:ascii="Times New Roman" w:eastAsiaTheme="minorEastAsia" w:hAnsi="Times New Roman" w:cs="Times New Roman"/>
          <w:bCs/>
          <w:lang w:eastAsia="et-EE"/>
        </w:rPr>
        <w:t>manustada</w:t>
      </w:r>
      <w:r w:rsidR="008C0A3E">
        <w:rPr>
          <w:rFonts w:ascii="Times New Roman" w:eastAsiaTheme="minorEastAsia" w:hAnsi="Times New Roman" w:cs="Times New Roman"/>
          <w:bCs/>
          <w:lang w:eastAsia="et-EE"/>
        </w:rPr>
        <w:t>.</w:t>
      </w:r>
      <w:r w:rsidR="004C4F44">
        <w:rPr>
          <w:rFonts w:ascii="Times New Roman" w:eastAsiaTheme="minorEastAsia" w:hAnsi="Times New Roman" w:cs="Times New Roman"/>
          <w:bCs/>
          <w:lang w:eastAsia="et-EE"/>
        </w:rPr>
        <w:t xml:space="preserve"> Komisjon soovitab haigekassal erialaekspertide abiga selgitada, </w:t>
      </w:r>
      <w:r w:rsidR="004C4F44">
        <w:rPr>
          <w:rFonts w:ascii="Times New Roman" w:eastAsia="Times New Roman" w:hAnsi="Times New Roman" w:cs="Times New Roman"/>
        </w:rPr>
        <w:t xml:space="preserve">kui palju on patsiente, kellele vinorelbiini ei ole võimalik meditsiinilistel põhjustel </w:t>
      </w:r>
      <w:r w:rsidR="00A24EDF">
        <w:rPr>
          <w:rFonts w:ascii="Times New Roman" w:eastAsia="Times New Roman" w:hAnsi="Times New Roman" w:cs="Times New Roman"/>
        </w:rPr>
        <w:t xml:space="preserve">veeni </w:t>
      </w:r>
      <w:r w:rsidR="004C4F44">
        <w:rPr>
          <w:rFonts w:ascii="Times New Roman" w:eastAsia="Times New Roman" w:hAnsi="Times New Roman" w:cs="Times New Roman"/>
        </w:rPr>
        <w:t xml:space="preserve">manustada ning </w:t>
      </w:r>
      <w:r w:rsidR="00A24EDF">
        <w:rPr>
          <w:rFonts w:ascii="Times New Roman" w:eastAsia="Times New Roman" w:hAnsi="Times New Roman" w:cs="Times New Roman"/>
        </w:rPr>
        <w:t xml:space="preserve">kelle seetõttu on alternatiivina vajalik </w:t>
      </w:r>
      <w:r w:rsidR="004C4F44">
        <w:rPr>
          <w:rFonts w:ascii="Times New Roman" w:eastAsia="Times New Roman" w:hAnsi="Times New Roman" w:cs="Times New Roman"/>
        </w:rPr>
        <w:t>suukaudne vinorelbiin.</w:t>
      </w:r>
    </w:p>
    <w:p w14:paraId="698FE35D" w14:textId="77777777" w:rsidR="002F6B29" w:rsidRDefault="002F6B29" w:rsidP="005B3B2C">
      <w:pPr>
        <w:spacing w:before="120" w:after="120" w:line="269" w:lineRule="auto"/>
        <w:jc w:val="both"/>
        <w:rPr>
          <w:rFonts w:ascii="Times New Roman" w:eastAsia="Times New Roman" w:hAnsi="Times New Roman" w:cs="Times New Roman"/>
          <w:b/>
          <w:u w:val="single"/>
        </w:rPr>
      </w:pPr>
      <w:r w:rsidRPr="00840BEF">
        <w:rPr>
          <w:rFonts w:ascii="Times New Roman" w:eastAsia="Times New Roman" w:hAnsi="Times New Roman" w:cs="Times New Roman"/>
          <w:b/>
          <w:u w:val="single"/>
        </w:rPr>
        <w:t>Komisjoni arvamus (ühehäälne)</w:t>
      </w:r>
    </w:p>
    <w:p w14:paraId="5012511C" w14:textId="77777777" w:rsidR="009D433C" w:rsidRDefault="008B2B67" w:rsidP="005B3B2C">
      <w:pPr>
        <w:spacing w:before="120" w:after="120" w:line="269" w:lineRule="auto"/>
        <w:jc w:val="both"/>
        <w:rPr>
          <w:rFonts w:ascii="Times New Roman" w:eastAsia="Times New Roman" w:hAnsi="Times New Roman" w:cs="Times New Roman"/>
        </w:rPr>
      </w:pPr>
      <w:r w:rsidRPr="00E26FBD">
        <w:rPr>
          <w:rFonts w:ascii="Times New Roman" w:eastAsia="Times New Roman" w:hAnsi="Times New Roman" w:cs="Times New Roman"/>
        </w:rPr>
        <w:t xml:space="preserve">Soovitada haigekassa juhatusel </w:t>
      </w:r>
      <w:r w:rsidR="008C0A3E">
        <w:rPr>
          <w:rFonts w:ascii="Times New Roman" w:eastAsia="Times New Roman" w:hAnsi="Times New Roman" w:cs="Times New Roman"/>
        </w:rPr>
        <w:t>taotlus</w:t>
      </w:r>
      <w:r w:rsidR="00DC1599">
        <w:rPr>
          <w:rFonts w:ascii="Times New Roman" w:eastAsia="Times New Roman" w:hAnsi="Times New Roman" w:cs="Times New Roman"/>
        </w:rPr>
        <w:t>t</w:t>
      </w:r>
      <w:r w:rsidR="008C0A3E">
        <w:rPr>
          <w:rFonts w:ascii="Times New Roman" w:eastAsia="Times New Roman" w:hAnsi="Times New Roman" w:cs="Times New Roman"/>
        </w:rPr>
        <w:t xml:space="preserve"> </w:t>
      </w:r>
      <w:r w:rsidR="003012EA">
        <w:rPr>
          <w:rFonts w:ascii="Times New Roman" w:eastAsia="Times New Roman" w:hAnsi="Times New Roman" w:cs="Times New Roman"/>
        </w:rPr>
        <w:t xml:space="preserve">pahaloomulise rinnakasvaja näidustusel </w:t>
      </w:r>
      <w:r w:rsidR="00DC1599">
        <w:rPr>
          <w:rFonts w:ascii="Times New Roman" w:eastAsia="Times New Roman" w:hAnsi="Times New Roman" w:cs="Times New Roman"/>
        </w:rPr>
        <w:t xml:space="preserve">mitte </w:t>
      </w:r>
      <w:r w:rsidRPr="00E26FBD">
        <w:rPr>
          <w:rFonts w:ascii="Times New Roman" w:eastAsia="Times New Roman" w:hAnsi="Times New Roman" w:cs="Times New Roman"/>
        </w:rPr>
        <w:t>rahuldada</w:t>
      </w:r>
      <w:r w:rsidR="00DC1599">
        <w:rPr>
          <w:rFonts w:ascii="Times New Roman" w:eastAsia="Times New Roman" w:hAnsi="Times New Roman" w:cs="Times New Roman"/>
        </w:rPr>
        <w:t>. Soovitada haigekassa juhatusel taotlus rahuldada</w:t>
      </w:r>
      <w:r w:rsidRPr="00E26FBD">
        <w:rPr>
          <w:rFonts w:ascii="Times New Roman" w:eastAsia="Times New Roman" w:hAnsi="Times New Roman" w:cs="Times New Roman"/>
        </w:rPr>
        <w:t xml:space="preserve"> </w:t>
      </w:r>
      <w:r w:rsidR="008C0A3E">
        <w:rPr>
          <w:rFonts w:ascii="Times New Roman" w:eastAsia="Times New Roman" w:hAnsi="Times New Roman" w:cs="Times New Roman"/>
        </w:rPr>
        <w:t xml:space="preserve">mitteväikerakk-kopsuvähi näidustusel </w:t>
      </w:r>
      <w:r w:rsidR="004C4F44">
        <w:rPr>
          <w:rFonts w:ascii="Times New Roman" w:eastAsia="Times New Roman" w:hAnsi="Times New Roman" w:cs="Times New Roman"/>
        </w:rPr>
        <w:t xml:space="preserve">tingimusel, et </w:t>
      </w:r>
      <w:r w:rsidR="00B45D59">
        <w:rPr>
          <w:rFonts w:ascii="Times New Roman" w:eastAsia="Times New Roman" w:hAnsi="Times New Roman" w:cs="Times New Roman"/>
        </w:rPr>
        <w:t xml:space="preserve">ravi maksumus ei ületaks oluliselt juba hüvitatava </w:t>
      </w:r>
      <w:r w:rsidR="003012EA">
        <w:rPr>
          <w:rFonts w:ascii="Times New Roman" w:eastAsia="Times New Roman" w:hAnsi="Times New Roman" w:cs="Times New Roman"/>
        </w:rPr>
        <w:t>intravenoosse</w:t>
      </w:r>
      <w:r w:rsidR="00B45D59">
        <w:rPr>
          <w:rFonts w:ascii="Times New Roman" w:eastAsia="Times New Roman" w:hAnsi="Times New Roman" w:cs="Times New Roman"/>
        </w:rPr>
        <w:t xml:space="preserve"> v</w:t>
      </w:r>
      <w:r w:rsidR="00DC1599">
        <w:rPr>
          <w:rFonts w:ascii="Times New Roman" w:eastAsia="Times New Roman" w:hAnsi="Times New Roman" w:cs="Times New Roman"/>
        </w:rPr>
        <w:t>i</w:t>
      </w:r>
      <w:r w:rsidR="00B45D59">
        <w:rPr>
          <w:rFonts w:ascii="Times New Roman" w:eastAsia="Times New Roman" w:hAnsi="Times New Roman" w:cs="Times New Roman"/>
        </w:rPr>
        <w:t xml:space="preserve">norelbiini maksumust ning sätestada väljakirjutamispiirangud, </w:t>
      </w:r>
      <w:r w:rsidR="00DC1599">
        <w:rPr>
          <w:rFonts w:ascii="Times New Roman" w:eastAsia="Times New Roman" w:hAnsi="Times New Roman" w:cs="Times New Roman"/>
        </w:rPr>
        <w:t xml:space="preserve">kasutamaks ravimit patsientidel, kellel </w:t>
      </w:r>
      <w:r w:rsidR="003012EA">
        <w:rPr>
          <w:rFonts w:ascii="Times New Roman" w:eastAsia="Times New Roman" w:hAnsi="Times New Roman" w:cs="Times New Roman"/>
        </w:rPr>
        <w:t xml:space="preserve">intravenoosse </w:t>
      </w:r>
      <w:r w:rsidR="00DC1599">
        <w:rPr>
          <w:rFonts w:ascii="Times New Roman" w:eastAsia="Times New Roman" w:hAnsi="Times New Roman" w:cs="Times New Roman"/>
        </w:rPr>
        <w:t xml:space="preserve">alternatiivi kasutamine </w:t>
      </w:r>
      <w:r w:rsidR="003012EA">
        <w:rPr>
          <w:rFonts w:ascii="Times New Roman" w:eastAsia="Times New Roman" w:hAnsi="Times New Roman" w:cs="Times New Roman"/>
        </w:rPr>
        <w:t>ei ole võimalik</w:t>
      </w:r>
      <w:r w:rsidR="00DC1599">
        <w:rPr>
          <w:rFonts w:ascii="Times New Roman" w:eastAsia="Times New Roman" w:hAnsi="Times New Roman" w:cs="Times New Roman"/>
        </w:rPr>
        <w:t xml:space="preserve">. </w:t>
      </w:r>
      <w:r w:rsidR="00B45D59">
        <w:rPr>
          <w:rFonts w:ascii="Times New Roman" w:eastAsia="Times New Roman" w:hAnsi="Times New Roman" w:cs="Times New Roman"/>
        </w:rPr>
        <w:t xml:space="preserve"> </w:t>
      </w:r>
    </w:p>
    <w:p w14:paraId="69BE6F58" w14:textId="77777777" w:rsidR="00DA3791" w:rsidRPr="0066219C" w:rsidRDefault="00EF30FB" w:rsidP="00551D9B">
      <w:pPr>
        <w:pBdr>
          <w:top w:val="single" w:sz="24" w:space="0" w:color="4F81BD"/>
          <w:left w:val="single" w:sz="24" w:space="0" w:color="4F81BD"/>
          <w:bottom w:val="single" w:sz="24" w:space="0" w:color="4F81BD"/>
          <w:right w:val="single" w:sz="24" w:space="0" w:color="4F81BD"/>
        </w:pBdr>
        <w:shd w:val="clear" w:color="auto" w:fill="4F81BD"/>
        <w:spacing w:after="0" w:line="269" w:lineRule="auto"/>
        <w:jc w:val="both"/>
        <w:outlineLvl w:val="0"/>
        <w:rPr>
          <w:rFonts w:ascii="Times New Roman" w:eastAsia="Times New Roman" w:hAnsi="Times New Roman" w:cs="Times New Roman"/>
          <w:b/>
          <w:bCs/>
          <w:caps/>
          <w:spacing w:val="15"/>
        </w:rPr>
      </w:pPr>
      <w:r>
        <w:rPr>
          <w:rFonts w:ascii="Times New Roman" w:eastAsia="Times New Roman" w:hAnsi="Times New Roman" w:cs="Times New Roman"/>
          <w:b/>
          <w:bCs/>
          <w:caps/>
          <w:color w:val="FFFFFF"/>
          <w:spacing w:val="15"/>
        </w:rPr>
        <w:t>3</w:t>
      </w:r>
      <w:r w:rsidR="00DA3791">
        <w:rPr>
          <w:rFonts w:ascii="Times New Roman" w:eastAsia="Times New Roman" w:hAnsi="Times New Roman" w:cs="Times New Roman"/>
          <w:b/>
          <w:bCs/>
          <w:caps/>
          <w:color w:val="FFFFFF"/>
          <w:spacing w:val="15"/>
        </w:rPr>
        <w:t xml:space="preserve">. </w:t>
      </w:r>
      <w:r w:rsidR="00194E19">
        <w:rPr>
          <w:rFonts w:ascii="Times New Roman" w:eastAsia="Times New Roman" w:hAnsi="Times New Roman" w:cs="Times New Roman"/>
          <w:b/>
          <w:bCs/>
          <w:caps/>
          <w:color w:val="FFFFFF"/>
          <w:spacing w:val="15"/>
        </w:rPr>
        <w:t>TRIFLURIDIIN + TIPIRATSIIL</w:t>
      </w:r>
    </w:p>
    <w:p w14:paraId="49C26A72" w14:textId="583ED302" w:rsidR="00E81227" w:rsidRPr="00E81227" w:rsidRDefault="008E405F" w:rsidP="00E81227">
      <w:pPr>
        <w:pStyle w:val="Normaallaadveeb"/>
        <w:kinsoku w:val="0"/>
        <w:overflowPunct w:val="0"/>
        <w:spacing w:before="120" w:beforeAutospacing="0" w:after="120" w:afterAutospacing="0" w:line="269" w:lineRule="auto"/>
        <w:jc w:val="both"/>
        <w:textAlignment w:val="baseline"/>
        <w:rPr>
          <w:sz w:val="22"/>
          <w:szCs w:val="22"/>
        </w:rPr>
      </w:pPr>
      <w:r w:rsidRPr="00A953AC">
        <w:rPr>
          <w:sz w:val="22"/>
          <w:szCs w:val="22"/>
        </w:rPr>
        <w:t>Eelmise</w:t>
      </w:r>
      <w:r w:rsidR="00B05350">
        <w:rPr>
          <w:sz w:val="22"/>
          <w:szCs w:val="22"/>
        </w:rPr>
        <w:t>l</w:t>
      </w:r>
      <w:r w:rsidRPr="00A953AC">
        <w:rPr>
          <w:sz w:val="22"/>
          <w:szCs w:val="22"/>
        </w:rPr>
        <w:t xml:space="preserve"> (</w:t>
      </w:r>
      <w:r w:rsidR="001214D6">
        <w:rPr>
          <w:sz w:val="22"/>
          <w:szCs w:val="22"/>
        </w:rPr>
        <w:t>22</w:t>
      </w:r>
      <w:r w:rsidRPr="00A953AC">
        <w:rPr>
          <w:sz w:val="22"/>
          <w:szCs w:val="22"/>
        </w:rPr>
        <w:t>.</w:t>
      </w:r>
      <w:r w:rsidR="001214D6">
        <w:rPr>
          <w:sz w:val="22"/>
          <w:szCs w:val="22"/>
        </w:rPr>
        <w:t>05</w:t>
      </w:r>
      <w:r w:rsidRPr="00A953AC">
        <w:rPr>
          <w:sz w:val="22"/>
          <w:szCs w:val="22"/>
        </w:rPr>
        <w:t>.201</w:t>
      </w:r>
      <w:r w:rsidR="001214D6">
        <w:rPr>
          <w:sz w:val="22"/>
          <w:szCs w:val="22"/>
        </w:rPr>
        <w:t>7</w:t>
      </w:r>
      <w:r w:rsidRPr="00A953AC">
        <w:rPr>
          <w:sz w:val="22"/>
          <w:szCs w:val="22"/>
        </w:rPr>
        <w:t>)</w:t>
      </w:r>
      <w:r w:rsidR="00A077A2">
        <w:rPr>
          <w:sz w:val="22"/>
          <w:szCs w:val="22"/>
        </w:rPr>
        <w:t xml:space="preserve"> </w:t>
      </w:r>
      <w:r w:rsidR="00B05350">
        <w:rPr>
          <w:sz w:val="22"/>
          <w:szCs w:val="22"/>
        </w:rPr>
        <w:t>arutelul leidis</w:t>
      </w:r>
      <w:r w:rsidR="00E81227">
        <w:rPr>
          <w:sz w:val="22"/>
          <w:szCs w:val="22"/>
        </w:rPr>
        <w:t xml:space="preserve"> komisjon, et</w:t>
      </w:r>
      <w:r w:rsidRPr="00A953AC">
        <w:rPr>
          <w:sz w:val="22"/>
          <w:szCs w:val="22"/>
        </w:rPr>
        <w:t xml:space="preserve"> </w:t>
      </w:r>
      <w:r w:rsidR="006B5EFD" w:rsidRPr="006B5EFD">
        <w:rPr>
          <w:sz w:val="22"/>
          <w:szCs w:val="22"/>
        </w:rPr>
        <w:t xml:space="preserve">taotletav ravim pikendab võrreldes platseeboga metastaatilise kolorektaalvähiga patsientide, kes on saanud vähemalt 2 või rohkem kemoteraapia kuuri, elulemust </w:t>
      </w:r>
      <w:r w:rsidR="00AB45A2">
        <w:rPr>
          <w:sz w:val="22"/>
          <w:szCs w:val="22"/>
        </w:rPr>
        <w:t>1,8</w:t>
      </w:r>
      <w:r w:rsidR="006B5EFD" w:rsidRPr="006B5EFD">
        <w:rPr>
          <w:sz w:val="22"/>
          <w:szCs w:val="22"/>
        </w:rPr>
        <w:t xml:space="preserve"> kuud ja progressioonivaba perioodi mediaani 0,3 kuud ehk 10 päeva</w:t>
      </w:r>
      <w:r w:rsidR="00E81227">
        <w:rPr>
          <w:sz w:val="22"/>
          <w:szCs w:val="22"/>
        </w:rPr>
        <w:t>.</w:t>
      </w:r>
      <w:r w:rsidR="006B5EFD" w:rsidRPr="006B5EFD">
        <w:rPr>
          <w:sz w:val="22"/>
          <w:szCs w:val="22"/>
        </w:rPr>
        <w:t xml:space="preserve"> Ravim on </w:t>
      </w:r>
      <w:r w:rsidR="00E81227">
        <w:rPr>
          <w:sz w:val="22"/>
          <w:szCs w:val="22"/>
        </w:rPr>
        <w:t>võrdlemisi</w:t>
      </w:r>
      <w:r w:rsidR="006B5EFD" w:rsidRPr="006B5EFD">
        <w:rPr>
          <w:sz w:val="22"/>
          <w:szCs w:val="22"/>
        </w:rPr>
        <w:t xml:space="preserve"> toksiline, kõrvaltoimeid esines uuringus 70% vs 50% ning esinenud kõrvaltoimed olid üsna tõsised.</w:t>
      </w:r>
      <w:r w:rsidR="00B05350">
        <w:rPr>
          <w:sz w:val="22"/>
          <w:szCs w:val="22"/>
        </w:rPr>
        <w:t xml:space="preserve"> </w:t>
      </w:r>
      <w:r w:rsidR="00E81227">
        <w:rPr>
          <w:sz w:val="22"/>
          <w:szCs w:val="22"/>
        </w:rPr>
        <w:t>J</w:t>
      </w:r>
      <w:r w:rsidR="006B5EFD" w:rsidRPr="006B5EFD">
        <w:rPr>
          <w:sz w:val="22"/>
          <w:szCs w:val="22"/>
        </w:rPr>
        <w:t>äreldati, et ravimist saadav kasu on väga piiripealse kliinilise olulisusega, patsient võib olla eelneva ravi järel kurnatud, ent ravimil on märkimisväärsed ja sagedased kõrvaltoimed</w:t>
      </w:r>
      <w:r w:rsidR="00E81227">
        <w:rPr>
          <w:sz w:val="22"/>
          <w:szCs w:val="22"/>
        </w:rPr>
        <w:t xml:space="preserve">. </w:t>
      </w:r>
      <w:r w:rsidR="00E81227" w:rsidRPr="00E81227">
        <w:rPr>
          <w:sz w:val="22"/>
          <w:szCs w:val="22"/>
        </w:rPr>
        <w:t xml:space="preserve">Arvestades ravimi </w:t>
      </w:r>
      <w:r w:rsidR="00E81227" w:rsidRPr="00E81227">
        <w:rPr>
          <w:sz w:val="22"/>
          <w:szCs w:val="22"/>
        </w:rPr>
        <w:lastRenderedPageBreak/>
        <w:t>väikest efekti ja väga ebasoodsat kulutõhususe näitajat,</w:t>
      </w:r>
      <w:r w:rsidR="00B05350">
        <w:rPr>
          <w:sz w:val="22"/>
          <w:szCs w:val="22"/>
        </w:rPr>
        <w:t xml:space="preserve"> mis jäi </w:t>
      </w:r>
      <w:r w:rsidR="008B7167" w:rsidRPr="008B7167">
        <w:rPr>
          <w:sz w:val="22"/>
          <w:szCs w:val="22"/>
          <w:highlight w:val="lightGray"/>
        </w:rPr>
        <w:t>…</w:t>
      </w:r>
      <w:r w:rsidR="00B05350">
        <w:rPr>
          <w:sz w:val="22"/>
          <w:szCs w:val="22"/>
        </w:rPr>
        <w:t>euro</w:t>
      </w:r>
      <w:r w:rsidR="003012EA">
        <w:rPr>
          <w:sz w:val="22"/>
          <w:szCs w:val="22"/>
        </w:rPr>
        <w:t>/QALY</w:t>
      </w:r>
      <w:r w:rsidR="00B05350">
        <w:rPr>
          <w:sz w:val="22"/>
          <w:szCs w:val="22"/>
        </w:rPr>
        <w:t xml:space="preserve"> juurde,</w:t>
      </w:r>
      <w:r w:rsidR="00E81227" w:rsidRPr="00E81227">
        <w:rPr>
          <w:sz w:val="22"/>
          <w:szCs w:val="22"/>
        </w:rPr>
        <w:t xml:space="preserve"> ei soovitanud komisjon taotluse rahuldamist. </w:t>
      </w:r>
    </w:p>
    <w:p w14:paraId="427A6B55" w14:textId="77777777" w:rsidR="00995305" w:rsidRPr="00EB02FB" w:rsidRDefault="00DA3791" w:rsidP="006B5EFD">
      <w:pPr>
        <w:pStyle w:val="Normaallaadveeb"/>
        <w:kinsoku w:val="0"/>
        <w:overflowPunct w:val="0"/>
        <w:spacing w:before="120" w:beforeAutospacing="0" w:after="120" w:afterAutospacing="0" w:line="269" w:lineRule="auto"/>
        <w:jc w:val="both"/>
        <w:textAlignment w:val="baseline"/>
        <w:rPr>
          <w:rFonts w:eastAsiaTheme="minorEastAsia"/>
          <w:sz w:val="22"/>
          <w:szCs w:val="22"/>
        </w:rPr>
      </w:pPr>
      <w:r w:rsidRPr="00EB02FB">
        <w:rPr>
          <w:rFonts w:eastAsiaTheme="minorEastAsia"/>
          <w:b/>
          <w:bCs/>
          <w:sz w:val="22"/>
          <w:szCs w:val="22"/>
          <w:u w:val="single"/>
        </w:rPr>
        <w:t>Taotlus:</w:t>
      </w:r>
      <w:r w:rsidR="00743CC2" w:rsidRPr="00EB02FB">
        <w:rPr>
          <w:rFonts w:eastAsiaTheme="minorEastAsia"/>
          <w:b/>
          <w:bCs/>
          <w:sz w:val="22"/>
          <w:szCs w:val="22"/>
        </w:rPr>
        <w:t xml:space="preserve"> </w:t>
      </w:r>
      <w:r w:rsidR="00743CC2" w:rsidRPr="00EB02FB">
        <w:rPr>
          <w:rFonts w:eastAsiaTheme="minorEastAsia"/>
          <w:sz w:val="22"/>
          <w:szCs w:val="22"/>
        </w:rPr>
        <w:t>100%, metastaatilise kolorektaalvähiga täiskasvanud patsientide raviks, keda on eelnevalt ravitud olemasolevate ravimeetoditega</w:t>
      </w:r>
      <w:r w:rsidR="003012EA">
        <w:rPr>
          <w:rFonts w:eastAsiaTheme="minorEastAsia"/>
          <w:sz w:val="22"/>
          <w:szCs w:val="22"/>
        </w:rPr>
        <w:t>,</w:t>
      </w:r>
      <w:r w:rsidR="00743CC2" w:rsidRPr="00EB02FB">
        <w:rPr>
          <w:rFonts w:eastAsiaTheme="minorEastAsia"/>
          <w:sz w:val="22"/>
          <w:szCs w:val="22"/>
        </w:rPr>
        <w:t xml:space="preserve"> sealhulgas fluoropürimidiini, oksaliplatiini ja irinotekaani</w:t>
      </w:r>
      <w:r w:rsidR="003012EA">
        <w:rPr>
          <w:rFonts w:eastAsiaTheme="minorEastAsia"/>
          <w:sz w:val="22"/>
          <w:szCs w:val="22"/>
        </w:rPr>
        <w:t xml:space="preserve"> </w:t>
      </w:r>
      <w:r w:rsidR="00743CC2" w:rsidRPr="00EB02FB">
        <w:rPr>
          <w:rFonts w:eastAsiaTheme="minorEastAsia"/>
          <w:sz w:val="22"/>
          <w:szCs w:val="22"/>
        </w:rPr>
        <w:t xml:space="preserve">põhiste kemoteraapiatega, anti-VEGF ravi ja anti-EGFR raviga või kellele need ravimeetodid ei sobi. </w:t>
      </w:r>
    </w:p>
    <w:p w14:paraId="6D748680" w14:textId="77777777" w:rsidR="00551D9B" w:rsidRDefault="00551D9B" w:rsidP="00106F74">
      <w:pPr>
        <w:pStyle w:val="Normaallaadveeb"/>
        <w:kinsoku w:val="0"/>
        <w:overflowPunct w:val="0"/>
        <w:spacing w:before="120" w:beforeAutospacing="0" w:after="120" w:afterAutospacing="0" w:line="269" w:lineRule="auto"/>
        <w:jc w:val="both"/>
        <w:textAlignment w:val="baseline"/>
        <w:rPr>
          <w:rFonts w:eastAsiaTheme="minorEastAsia"/>
          <w:sz w:val="22"/>
          <w:szCs w:val="22"/>
        </w:rPr>
      </w:pPr>
      <w:r w:rsidRPr="00EB02FB">
        <w:rPr>
          <w:rFonts w:eastAsiaTheme="minorEastAsia"/>
          <w:b/>
          <w:bCs/>
          <w:sz w:val="22"/>
          <w:szCs w:val="22"/>
        </w:rPr>
        <w:t xml:space="preserve">Praegu soodusravimite loetelus: </w:t>
      </w:r>
      <w:r w:rsidR="00EB02FB" w:rsidRPr="00EB02FB">
        <w:rPr>
          <w:rFonts w:eastAsiaTheme="minorEastAsia"/>
          <w:sz w:val="22"/>
          <w:szCs w:val="22"/>
        </w:rPr>
        <w:t>100% soodusmääraga kolorektaalvähi (C18-C20) adjuvantseks ja palliatiivseks monokemoteraapiaks hüvitatud kapetsitabiin. TTL kaudu kompenseeritakse kolorektaalvähi keemiaravi kahe teenusena – varajase staadiumi kolorektaalkasvaja kemoteraapiakuur (5 raviskeemi) ja metastaatilise kolorektaalkasvaja kemoteraapiakuur (12 raviskeemi).</w:t>
      </w:r>
    </w:p>
    <w:p w14:paraId="2A58C88C" w14:textId="77777777" w:rsidR="006513CF" w:rsidRPr="00EB02FB" w:rsidRDefault="006513CF" w:rsidP="00106F74">
      <w:pPr>
        <w:pStyle w:val="Normaallaadveeb"/>
        <w:kinsoku w:val="0"/>
        <w:overflowPunct w:val="0"/>
        <w:spacing w:before="120" w:beforeAutospacing="0" w:after="120" w:afterAutospacing="0" w:line="269" w:lineRule="auto"/>
        <w:jc w:val="both"/>
        <w:textAlignment w:val="baseline"/>
        <w:rPr>
          <w:rFonts w:eastAsia="Calibri"/>
          <w:sz w:val="22"/>
          <w:szCs w:val="22"/>
        </w:rPr>
      </w:pPr>
      <w:r w:rsidRPr="00106F74">
        <w:rPr>
          <w:rFonts w:eastAsia="Calibri"/>
          <w:b/>
          <w:sz w:val="22"/>
          <w:szCs w:val="22"/>
        </w:rPr>
        <w:t>Tervishoiuteenuste loetelu</w:t>
      </w:r>
      <w:r>
        <w:rPr>
          <w:rFonts w:eastAsia="Calibri"/>
          <w:sz w:val="22"/>
          <w:szCs w:val="22"/>
        </w:rPr>
        <w:t xml:space="preserve"> kaudu </w:t>
      </w:r>
      <w:r w:rsidRPr="006513CF">
        <w:rPr>
          <w:rFonts w:eastAsia="Calibri"/>
          <w:sz w:val="22"/>
          <w:szCs w:val="22"/>
        </w:rPr>
        <w:t>kompenseeritakse kolorektaalvähi keemiaravi kahe teenusena – varajase staadiumi kolorektaalkasvaja kemoteraapiakuur (5 raviskeemi) ja metastaatilise kolorektaalkasvaja kemoteraapiakuur (12 raviskeemi).</w:t>
      </w:r>
    </w:p>
    <w:p w14:paraId="2B127A01" w14:textId="77777777" w:rsidR="002F6B29" w:rsidRPr="00474711" w:rsidRDefault="002F6B29" w:rsidP="00474711">
      <w:pPr>
        <w:spacing w:before="120" w:after="120" w:line="269" w:lineRule="auto"/>
        <w:jc w:val="both"/>
        <w:rPr>
          <w:rFonts w:ascii="Times New Roman" w:eastAsia="Times New Roman" w:hAnsi="Times New Roman" w:cs="Times New Roman"/>
          <w:b/>
          <w:bCs/>
          <w:u w:val="single"/>
          <w:lang w:eastAsia="et-EE"/>
        </w:rPr>
      </w:pPr>
      <w:r w:rsidRPr="00474711">
        <w:rPr>
          <w:rFonts w:ascii="Times New Roman" w:eastAsia="Times New Roman" w:hAnsi="Times New Roman" w:cs="Times New Roman"/>
          <w:b/>
          <w:bCs/>
          <w:u w:val="single"/>
          <w:lang w:eastAsia="et-EE"/>
        </w:rPr>
        <w:t>Taotluse hindamine RaKS kriteeriumide alusel</w:t>
      </w:r>
    </w:p>
    <w:p w14:paraId="7EDF355A" w14:textId="77777777" w:rsidR="002F6B29" w:rsidRPr="00474711" w:rsidRDefault="002F6B29" w:rsidP="00474711">
      <w:pPr>
        <w:spacing w:before="120" w:after="120" w:line="269" w:lineRule="auto"/>
        <w:jc w:val="both"/>
        <w:rPr>
          <w:rFonts w:ascii="Times New Roman" w:eastAsia="Calibri" w:hAnsi="Times New Roman" w:cs="Times New Roman"/>
          <w:b/>
          <w:lang w:eastAsia="et-EE"/>
        </w:rPr>
      </w:pPr>
      <w:r w:rsidRPr="00474711">
        <w:rPr>
          <w:rFonts w:ascii="Times New Roman" w:eastAsia="Calibri" w:hAnsi="Times New Roman" w:cs="Times New Roman"/>
          <w:b/>
          <w:lang w:eastAsia="et-EE"/>
        </w:rPr>
        <w:t>Isiku vajadus saada ravimit tulenevalt tervishoiuteenuse osutamisest:</w:t>
      </w:r>
    </w:p>
    <w:p w14:paraId="540EB85A" w14:textId="77777777" w:rsidR="007D43A1" w:rsidRPr="007D43A1" w:rsidRDefault="007D43A1" w:rsidP="007D43A1">
      <w:pPr>
        <w:spacing w:before="120" w:after="120" w:line="269" w:lineRule="auto"/>
        <w:jc w:val="both"/>
        <w:rPr>
          <w:rFonts w:ascii="Times New Roman" w:eastAsiaTheme="minorEastAsia" w:hAnsi="Times New Roman" w:cs="Times New Roman"/>
          <w:lang w:eastAsia="et-EE"/>
        </w:rPr>
      </w:pPr>
      <w:r w:rsidRPr="007D43A1">
        <w:rPr>
          <w:rFonts w:ascii="Times New Roman" w:eastAsiaTheme="minorEastAsia" w:hAnsi="Times New Roman" w:cs="Times New Roman"/>
          <w:lang w:eastAsia="et-EE"/>
        </w:rPr>
        <w:t xml:space="preserve">Metastaatiline kolorektaalvähk (mCRC) on kaugelearenenud pahaloomuline kasvaja, mille ravi on suuremalt jaolt palliatiivne, kombineerides spetsiifilisi ravikäsitlusi (palliatiivne kirurgia, kemoteraapia ja kiiritus) sümptomaatilise ravi ning psühhosotsiaalse toega. Ravi peamine eesmärk on muuta algselt operatsiooniks sobimatu haigus opereeritavaks ning juhtudel, kus see ei osutu võimalikuks, leevendada haiguse sümptomeid, pikendada elulemust ning parandada elukvaliteeti. </w:t>
      </w:r>
    </w:p>
    <w:p w14:paraId="53C33BDF" w14:textId="77777777" w:rsidR="007D43A1" w:rsidRPr="007D43A1" w:rsidRDefault="007D43A1" w:rsidP="007D43A1">
      <w:pPr>
        <w:spacing w:before="120" w:after="120" w:line="269" w:lineRule="auto"/>
        <w:jc w:val="both"/>
        <w:rPr>
          <w:rFonts w:ascii="Times New Roman" w:eastAsiaTheme="minorEastAsia" w:hAnsi="Times New Roman" w:cs="Times New Roman"/>
          <w:lang w:eastAsia="et-EE"/>
        </w:rPr>
      </w:pPr>
      <w:r w:rsidRPr="007D43A1">
        <w:rPr>
          <w:rFonts w:ascii="Times New Roman" w:eastAsiaTheme="minorEastAsia" w:hAnsi="Times New Roman" w:cs="Times New Roman"/>
          <w:lang w:eastAsia="et-EE"/>
        </w:rPr>
        <w:t>Taotleja prognoosib ravisaajate arvuks 60 – 80 patsienti.</w:t>
      </w:r>
    </w:p>
    <w:p w14:paraId="03DCB86D" w14:textId="77777777" w:rsidR="002F6B29" w:rsidRPr="00474711" w:rsidRDefault="002F6B29" w:rsidP="00474711">
      <w:pPr>
        <w:spacing w:before="120" w:after="120" w:line="269" w:lineRule="auto"/>
        <w:jc w:val="both"/>
        <w:rPr>
          <w:rFonts w:ascii="Times New Roman" w:eastAsia="Calibri" w:hAnsi="Times New Roman" w:cs="Times New Roman"/>
          <w:b/>
          <w:lang w:eastAsia="et-EE"/>
        </w:rPr>
      </w:pPr>
      <w:r w:rsidRPr="00474711">
        <w:rPr>
          <w:rFonts w:ascii="Times New Roman" w:eastAsia="Calibri" w:hAnsi="Times New Roman" w:cs="Times New Roman"/>
          <w:b/>
          <w:lang w:eastAsia="et-EE"/>
        </w:rPr>
        <w:t xml:space="preserve">Alternatiivsete ravimite või raviviiside olemasolu: </w:t>
      </w:r>
    </w:p>
    <w:p w14:paraId="459BDBFA" w14:textId="77777777" w:rsidR="007D43A1" w:rsidRPr="007D43A1" w:rsidRDefault="007D43A1" w:rsidP="007D43A1">
      <w:pPr>
        <w:spacing w:before="120" w:after="120" w:line="269" w:lineRule="auto"/>
        <w:jc w:val="both"/>
        <w:rPr>
          <w:rFonts w:ascii="Times New Roman" w:eastAsiaTheme="minorEastAsia" w:hAnsi="Times New Roman" w:cs="Times New Roman"/>
          <w:lang w:eastAsia="et-EE"/>
        </w:rPr>
      </w:pPr>
      <w:r w:rsidRPr="007D43A1">
        <w:rPr>
          <w:rFonts w:ascii="Times New Roman" w:eastAsiaTheme="minorEastAsia" w:hAnsi="Times New Roman" w:cs="Times New Roman"/>
          <w:lang w:eastAsia="et-EE"/>
        </w:rPr>
        <w:t xml:space="preserve">Dr. Elme on </w:t>
      </w:r>
      <w:r w:rsidR="003012EA">
        <w:rPr>
          <w:rFonts w:ascii="Times New Roman" w:eastAsiaTheme="minorEastAsia" w:hAnsi="Times New Roman" w:cs="Times New Roman"/>
          <w:lang w:eastAsia="et-EE"/>
        </w:rPr>
        <w:t xml:space="preserve">eksperdina </w:t>
      </w:r>
      <w:r w:rsidRPr="007D43A1">
        <w:rPr>
          <w:rFonts w:ascii="Times New Roman" w:eastAsiaTheme="minorEastAsia" w:hAnsi="Times New Roman" w:cs="Times New Roman"/>
          <w:lang w:eastAsia="et-EE"/>
        </w:rPr>
        <w:t>III ravireas välja toonud järgmised ravivõimalused: tsetuksimaab ja panitumumaab (</w:t>
      </w:r>
      <w:r w:rsidRPr="007D43A1">
        <w:rPr>
          <w:rFonts w:ascii="Times New Roman" w:eastAsiaTheme="minorEastAsia" w:hAnsi="Times New Roman" w:cs="Times New Roman"/>
          <w:lang w:val="fi-FI" w:eastAsia="et-EE"/>
        </w:rPr>
        <w:t>kasvaja RAS metsikut tüüpi alavormide korral</w:t>
      </w:r>
      <w:r w:rsidRPr="007D43A1">
        <w:rPr>
          <w:rFonts w:ascii="Times New Roman" w:eastAsiaTheme="minorEastAsia" w:hAnsi="Times New Roman" w:cs="Times New Roman"/>
          <w:lang w:eastAsia="et-EE"/>
        </w:rPr>
        <w:t xml:space="preserve">), regorafeniib ja taotletav ravim (trifluridiin+tipiratsiil). Ükski nimetatud ravivõimalustest </w:t>
      </w:r>
      <w:r w:rsidR="003012EA">
        <w:rPr>
          <w:rFonts w:ascii="Times New Roman" w:eastAsiaTheme="minorEastAsia" w:hAnsi="Times New Roman" w:cs="Times New Roman"/>
          <w:lang w:eastAsia="et-EE"/>
        </w:rPr>
        <w:t>praegu</w:t>
      </w:r>
      <w:r w:rsidR="003012EA" w:rsidRPr="007D43A1">
        <w:rPr>
          <w:rFonts w:ascii="Times New Roman" w:eastAsiaTheme="minorEastAsia" w:hAnsi="Times New Roman" w:cs="Times New Roman"/>
          <w:lang w:eastAsia="et-EE"/>
        </w:rPr>
        <w:t xml:space="preserve"> </w:t>
      </w:r>
      <w:r w:rsidRPr="007D43A1">
        <w:rPr>
          <w:rFonts w:ascii="Times New Roman" w:eastAsiaTheme="minorEastAsia" w:hAnsi="Times New Roman" w:cs="Times New Roman"/>
          <w:lang w:eastAsia="et-EE"/>
        </w:rPr>
        <w:t xml:space="preserve">haigekassa poolt rahastatud ei ole. </w:t>
      </w:r>
    </w:p>
    <w:p w14:paraId="0752F05F" w14:textId="77777777" w:rsidR="002F6B29" w:rsidRPr="00474711" w:rsidRDefault="002F6B29" w:rsidP="00474711">
      <w:pPr>
        <w:spacing w:before="120" w:after="120" w:line="269" w:lineRule="auto"/>
        <w:jc w:val="both"/>
        <w:rPr>
          <w:rFonts w:ascii="Times New Roman" w:eastAsia="Calibri" w:hAnsi="Times New Roman" w:cs="Times New Roman"/>
          <w:b/>
          <w:lang w:eastAsia="et-EE"/>
        </w:rPr>
      </w:pPr>
      <w:r w:rsidRPr="00474711">
        <w:rPr>
          <w:rFonts w:ascii="Times New Roman" w:eastAsia="Calibri" w:hAnsi="Times New Roman" w:cs="Times New Roman"/>
          <w:b/>
          <w:lang w:eastAsia="et-EE"/>
        </w:rPr>
        <w:t>Ravimi tõendatud efektiivsus ja ohutus:</w:t>
      </w:r>
    </w:p>
    <w:p w14:paraId="13DC2B3B" w14:textId="77777777" w:rsidR="00105895" w:rsidRPr="00474711" w:rsidRDefault="00172F56" w:rsidP="00474711">
      <w:pPr>
        <w:spacing w:before="120" w:after="120" w:line="269" w:lineRule="auto"/>
        <w:jc w:val="both"/>
        <w:rPr>
          <w:rFonts w:ascii="Times New Roman" w:eastAsiaTheme="minorEastAsia" w:hAnsi="Times New Roman" w:cs="Times New Roman"/>
          <w:bCs/>
          <w:lang w:eastAsia="et-EE"/>
        </w:rPr>
      </w:pPr>
      <w:r>
        <w:rPr>
          <w:rFonts w:ascii="Times New Roman" w:eastAsiaTheme="minorEastAsia" w:hAnsi="Times New Roman" w:cs="Times New Roman"/>
          <w:bCs/>
          <w:lang w:eastAsia="et-EE"/>
        </w:rPr>
        <w:t xml:space="preserve">Uusi kliinilisi andmeid </w:t>
      </w:r>
      <w:r w:rsidR="002F3B7E">
        <w:rPr>
          <w:rFonts w:ascii="Times New Roman" w:eastAsiaTheme="minorEastAsia" w:hAnsi="Times New Roman" w:cs="Times New Roman"/>
          <w:bCs/>
          <w:lang w:eastAsia="et-EE"/>
        </w:rPr>
        <w:t xml:space="preserve">muudetud taotlusega </w:t>
      </w:r>
      <w:r>
        <w:rPr>
          <w:rFonts w:ascii="Times New Roman" w:eastAsiaTheme="minorEastAsia" w:hAnsi="Times New Roman" w:cs="Times New Roman"/>
          <w:bCs/>
          <w:lang w:eastAsia="et-EE"/>
        </w:rPr>
        <w:t xml:space="preserve">esitatud ei ole. </w:t>
      </w:r>
    </w:p>
    <w:p w14:paraId="00732B30" w14:textId="77777777" w:rsidR="002F6B29" w:rsidRPr="00474711" w:rsidRDefault="002F6B29" w:rsidP="00474711">
      <w:pPr>
        <w:spacing w:before="120" w:after="120" w:line="269" w:lineRule="auto"/>
        <w:jc w:val="both"/>
        <w:rPr>
          <w:rFonts w:ascii="Times New Roman" w:eastAsia="Calibri" w:hAnsi="Times New Roman" w:cs="Times New Roman"/>
          <w:b/>
          <w:lang w:eastAsia="et-EE"/>
        </w:rPr>
      </w:pPr>
      <w:r w:rsidRPr="00474711">
        <w:rPr>
          <w:rFonts w:ascii="Times New Roman" w:eastAsia="Calibri" w:hAnsi="Times New Roman" w:cs="Times New Roman"/>
          <w:b/>
          <w:lang w:eastAsia="et-EE"/>
        </w:rPr>
        <w:t>Ravimi kasutamise majanduslik põhjendatus:</w:t>
      </w:r>
    </w:p>
    <w:p w14:paraId="5D4C7F1E" w14:textId="309D7488" w:rsidR="0037632D" w:rsidRDefault="0037632D" w:rsidP="00B765C1">
      <w:pPr>
        <w:spacing w:before="120" w:after="120" w:line="269" w:lineRule="auto"/>
        <w:jc w:val="both"/>
        <w:rPr>
          <w:rFonts w:ascii="Times New Roman" w:eastAsiaTheme="minorEastAsia" w:hAnsi="Times New Roman" w:cs="Times New Roman"/>
          <w:lang w:eastAsia="et-EE"/>
        </w:rPr>
      </w:pPr>
      <w:r w:rsidRPr="0037632D">
        <w:rPr>
          <w:rFonts w:ascii="Times New Roman" w:eastAsiaTheme="minorEastAsia" w:hAnsi="Times New Roman" w:cs="Times New Roman"/>
          <w:lang w:eastAsia="et-EE"/>
        </w:rPr>
        <w:t>Taotleja on esitanud farmakoökonoomilise analüüsi, milles võr</w:t>
      </w:r>
      <w:r>
        <w:rPr>
          <w:rFonts w:ascii="Times New Roman" w:eastAsiaTheme="minorEastAsia" w:hAnsi="Times New Roman" w:cs="Times New Roman"/>
          <w:lang w:eastAsia="et-EE"/>
        </w:rPr>
        <w:t>reldi</w:t>
      </w:r>
      <w:r w:rsidRPr="0037632D">
        <w:rPr>
          <w:rFonts w:ascii="Times New Roman" w:eastAsiaTheme="minorEastAsia" w:hAnsi="Times New Roman" w:cs="Times New Roman"/>
          <w:lang w:eastAsia="et-EE"/>
        </w:rPr>
        <w:t xml:space="preserve"> trifluridiin+tipiratsiili (koos parima toetava raviga) täiendkulu tõhususe määra parima toetava raviga võidetud eluaastate (LYG) ning võidetud kvaliteedile kohandatud eluaastate (QALY) osas haigekassa perspektiivist lähtuvalt</w:t>
      </w:r>
      <w:r>
        <w:rPr>
          <w:rFonts w:ascii="Times New Roman" w:eastAsiaTheme="minorEastAsia" w:hAnsi="Times New Roman" w:cs="Times New Roman"/>
          <w:lang w:eastAsia="et-EE"/>
        </w:rPr>
        <w:t xml:space="preserve">. Analüüsi </w:t>
      </w:r>
      <w:r w:rsidR="00BB02FA">
        <w:rPr>
          <w:rFonts w:ascii="Times New Roman" w:eastAsiaTheme="minorEastAsia" w:hAnsi="Times New Roman" w:cs="Times New Roman"/>
          <w:lang w:eastAsia="et-EE"/>
        </w:rPr>
        <w:t>tulemusel</w:t>
      </w:r>
      <w:r w:rsidR="00BB02FA" w:rsidRPr="00BB02FA">
        <w:rPr>
          <w:rFonts w:ascii="Times New Roman" w:eastAsiaTheme="minorEastAsia" w:hAnsi="Times New Roman" w:cs="Times New Roman"/>
          <w:lang w:eastAsia="et-EE"/>
        </w:rPr>
        <w:t xml:space="preserve"> leidis taotleja, et </w:t>
      </w:r>
      <w:r w:rsidRPr="0037632D">
        <w:rPr>
          <w:rFonts w:ascii="Times New Roman" w:eastAsiaTheme="minorEastAsia" w:hAnsi="Times New Roman" w:cs="Times New Roman"/>
          <w:lang w:eastAsia="et-EE"/>
        </w:rPr>
        <w:t xml:space="preserve">võrreldes parima toetava raviga lisandub trifluridiin+tipiratsiiliiga 10 aastases ajahorisondis </w:t>
      </w:r>
      <w:r w:rsidR="00272D70" w:rsidRPr="00272D70">
        <w:rPr>
          <w:rFonts w:ascii="Times New Roman" w:eastAsiaTheme="minorEastAsia" w:hAnsi="Times New Roman" w:cs="Times New Roman"/>
          <w:highlight w:val="lightGray"/>
          <w:lang w:eastAsia="et-EE"/>
        </w:rPr>
        <w:t>…</w:t>
      </w:r>
      <w:r w:rsidRPr="0037632D">
        <w:rPr>
          <w:rFonts w:ascii="Times New Roman" w:eastAsiaTheme="minorEastAsia" w:hAnsi="Times New Roman" w:cs="Times New Roman"/>
          <w:lang w:eastAsia="et-EE"/>
        </w:rPr>
        <w:t xml:space="preserve">QALY ning täiendkulu tõhususe määr kvaliteedile kohandatud eluaasta kohta </w:t>
      </w:r>
      <w:r w:rsidR="00960402">
        <w:rPr>
          <w:rFonts w:ascii="Times New Roman" w:eastAsiaTheme="minorEastAsia" w:hAnsi="Times New Roman" w:cs="Times New Roman"/>
          <w:lang w:eastAsia="et-EE"/>
        </w:rPr>
        <w:t>(</w:t>
      </w:r>
      <w:r w:rsidRPr="0037632D">
        <w:rPr>
          <w:rFonts w:ascii="Times New Roman" w:eastAsiaTheme="minorEastAsia" w:hAnsi="Times New Roman" w:cs="Times New Roman"/>
          <w:lang w:eastAsia="et-EE"/>
        </w:rPr>
        <w:t>ICER</w:t>
      </w:r>
      <w:r w:rsidR="00960402">
        <w:rPr>
          <w:rFonts w:ascii="Times New Roman" w:eastAsiaTheme="minorEastAsia" w:hAnsi="Times New Roman" w:cs="Times New Roman"/>
          <w:lang w:eastAsia="et-EE"/>
        </w:rPr>
        <w:t>/</w:t>
      </w:r>
      <w:r w:rsidRPr="0037632D">
        <w:rPr>
          <w:rFonts w:ascii="Times New Roman" w:eastAsiaTheme="minorEastAsia" w:hAnsi="Times New Roman" w:cs="Times New Roman"/>
          <w:lang w:eastAsia="et-EE"/>
        </w:rPr>
        <w:t>QALY</w:t>
      </w:r>
      <w:r w:rsidR="00960402">
        <w:rPr>
          <w:rFonts w:ascii="Times New Roman" w:eastAsiaTheme="minorEastAsia" w:hAnsi="Times New Roman" w:cs="Times New Roman"/>
          <w:lang w:eastAsia="et-EE"/>
        </w:rPr>
        <w:t xml:space="preserve">) on </w:t>
      </w:r>
      <w:r w:rsidR="00272D70" w:rsidRPr="00272D70">
        <w:rPr>
          <w:rFonts w:ascii="Times New Roman" w:eastAsiaTheme="minorEastAsia" w:hAnsi="Times New Roman" w:cs="Times New Roman"/>
          <w:highlight w:val="lightGray"/>
          <w:lang w:eastAsia="et-EE"/>
        </w:rPr>
        <w:t>…</w:t>
      </w:r>
      <w:r w:rsidRPr="0037632D">
        <w:rPr>
          <w:rFonts w:ascii="Times New Roman" w:eastAsiaTheme="minorEastAsia" w:hAnsi="Times New Roman" w:cs="Times New Roman"/>
          <w:lang w:eastAsia="et-EE"/>
        </w:rPr>
        <w:t xml:space="preserve">eurot </w:t>
      </w:r>
    </w:p>
    <w:p w14:paraId="5AB581F5" w14:textId="79857A37" w:rsidR="00BB02FA" w:rsidRPr="00BB02FA" w:rsidRDefault="000070EA" w:rsidP="00BB02FA">
      <w:pPr>
        <w:spacing w:before="120" w:after="120" w:line="269" w:lineRule="auto"/>
        <w:jc w:val="both"/>
        <w:rPr>
          <w:rFonts w:ascii="Times New Roman" w:eastAsiaTheme="minorEastAsia" w:hAnsi="Times New Roman" w:cs="Times New Roman"/>
          <w:lang w:eastAsia="et-EE"/>
        </w:rPr>
      </w:pPr>
      <w:r w:rsidRPr="000070EA">
        <w:rPr>
          <w:rFonts w:ascii="Times New Roman" w:eastAsiaTheme="minorEastAsia" w:hAnsi="Times New Roman" w:cs="Times New Roman"/>
          <w:lang w:eastAsia="et-EE"/>
        </w:rPr>
        <w:t xml:space="preserve">Arvestades, et elulemuse mediaan jääb patsientidel alla aasta (RECOURSE uuringus oli 1-aastase elulemuse määrad uuringugruppides vastavalt trifuridiin+tipiratsiil 27% ja platseebo 17%) ning mudelis ekstrapoleeritud andmeid, mille kohaselt on mõlemas uuringugrupis kõik patsiendid surnud 8,22. aastal, lähtus haigekassa kordusanalüüsis 8,22-aastasest ajahorisondist. </w:t>
      </w:r>
      <w:r>
        <w:rPr>
          <w:rFonts w:ascii="Times New Roman" w:eastAsiaTheme="minorEastAsia" w:hAnsi="Times New Roman" w:cs="Times New Roman"/>
          <w:lang w:eastAsia="et-EE"/>
        </w:rPr>
        <w:t>K</w:t>
      </w:r>
      <w:r w:rsidR="00BB02FA" w:rsidRPr="00BB02FA">
        <w:rPr>
          <w:rFonts w:ascii="Times New Roman" w:eastAsiaTheme="minorEastAsia" w:hAnsi="Times New Roman" w:cs="Times New Roman"/>
          <w:lang w:eastAsia="et-EE"/>
        </w:rPr>
        <w:t xml:space="preserve">ordusanalüüsi tulemusel </w:t>
      </w:r>
      <w:r w:rsidR="0060304E">
        <w:rPr>
          <w:rFonts w:ascii="Times New Roman" w:eastAsiaTheme="minorEastAsia" w:hAnsi="Times New Roman" w:cs="Times New Roman"/>
          <w:lang w:eastAsia="et-EE"/>
        </w:rPr>
        <w:t xml:space="preserve">ja tootja pakkumist arvesse võttes </w:t>
      </w:r>
      <w:r>
        <w:rPr>
          <w:rFonts w:ascii="Times New Roman" w:eastAsiaTheme="minorEastAsia" w:hAnsi="Times New Roman" w:cs="Times New Roman"/>
          <w:lang w:eastAsia="et-EE"/>
        </w:rPr>
        <w:t xml:space="preserve">saadi </w:t>
      </w:r>
      <w:r w:rsidR="00BB02FA" w:rsidRPr="00BB02FA">
        <w:rPr>
          <w:rFonts w:ascii="Times New Roman" w:eastAsiaTheme="minorEastAsia" w:hAnsi="Times New Roman" w:cs="Times New Roman"/>
          <w:lang w:eastAsia="et-EE"/>
        </w:rPr>
        <w:t xml:space="preserve">ICER/QALY </w:t>
      </w:r>
      <w:r w:rsidR="00695C4E">
        <w:rPr>
          <w:rFonts w:ascii="Times New Roman" w:eastAsiaTheme="minorEastAsia" w:hAnsi="Times New Roman" w:cs="Times New Roman"/>
          <w:lang w:eastAsia="et-EE"/>
        </w:rPr>
        <w:t xml:space="preserve">väärtuseks </w:t>
      </w:r>
      <w:r w:rsidR="00272D70" w:rsidRPr="00272D70">
        <w:rPr>
          <w:rFonts w:ascii="Times New Roman" w:eastAsiaTheme="minorEastAsia" w:hAnsi="Times New Roman" w:cs="Times New Roman"/>
          <w:highlight w:val="lightGray"/>
          <w:lang w:eastAsia="et-EE"/>
        </w:rPr>
        <w:t>…</w:t>
      </w:r>
      <w:r w:rsidR="00BB02FA" w:rsidRPr="00BB02FA">
        <w:rPr>
          <w:rFonts w:ascii="Times New Roman" w:eastAsiaTheme="minorEastAsia" w:hAnsi="Times New Roman" w:cs="Times New Roman"/>
          <w:lang w:eastAsia="et-EE"/>
        </w:rPr>
        <w:t>eurot</w:t>
      </w:r>
      <w:r w:rsidR="0060304E">
        <w:rPr>
          <w:rFonts w:ascii="Times New Roman" w:eastAsiaTheme="minorEastAsia" w:hAnsi="Times New Roman" w:cs="Times New Roman"/>
          <w:lang w:eastAsia="et-EE"/>
        </w:rPr>
        <w:t>.</w:t>
      </w:r>
    </w:p>
    <w:p w14:paraId="00477411" w14:textId="77777777" w:rsidR="002F6B29" w:rsidRPr="00474711" w:rsidRDefault="002F6B29" w:rsidP="00474711">
      <w:pPr>
        <w:spacing w:before="120" w:after="120" w:line="269" w:lineRule="auto"/>
        <w:jc w:val="both"/>
        <w:rPr>
          <w:rFonts w:ascii="Times New Roman" w:eastAsia="Calibri" w:hAnsi="Times New Roman" w:cs="Times New Roman"/>
          <w:b/>
          <w:lang w:eastAsia="et-EE"/>
        </w:rPr>
      </w:pPr>
      <w:r w:rsidRPr="00474711">
        <w:rPr>
          <w:rFonts w:ascii="Times New Roman" w:eastAsia="Calibri" w:hAnsi="Times New Roman" w:cs="Times New Roman"/>
          <w:b/>
          <w:lang w:eastAsia="et-EE"/>
        </w:rPr>
        <w:t>Mõju ravikindlustuse eelarvele:</w:t>
      </w:r>
    </w:p>
    <w:p w14:paraId="503C5E68" w14:textId="0E5CF429" w:rsidR="00C36210" w:rsidRDefault="00C36210" w:rsidP="00062F57">
      <w:pPr>
        <w:spacing w:before="120" w:after="120" w:line="269" w:lineRule="auto"/>
        <w:jc w:val="both"/>
        <w:rPr>
          <w:rFonts w:ascii="Times New Roman" w:eastAsiaTheme="minorEastAsia" w:hAnsi="Times New Roman" w:cs="Times New Roman"/>
          <w:lang w:eastAsia="et-EE"/>
        </w:rPr>
      </w:pPr>
      <w:r w:rsidRPr="00C36210">
        <w:rPr>
          <w:rFonts w:ascii="Times New Roman" w:eastAsiaTheme="minorEastAsia" w:hAnsi="Times New Roman" w:cs="Times New Roman"/>
          <w:lang w:eastAsia="et-EE"/>
        </w:rPr>
        <w:t xml:space="preserve">70 patsiendi ravi tähendaks lisakulu ravikindlustuse eelarvele </w:t>
      </w:r>
      <w:r w:rsidR="00272D70" w:rsidRPr="00272D70">
        <w:rPr>
          <w:rFonts w:ascii="Times New Roman" w:eastAsiaTheme="minorEastAsia" w:hAnsi="Times New Roman" w:cs="Times New Roman"/>
          <w:highlight w:val="lightGray"/>
          <w:lang w:eastAsia="et-EE"/>
        </w:rPr>
        <w:t>…</w:t>
      </w:r>
      <w:r w:rsidRPr="00C36210">
        <w:rPr>
          <w:rFonts w:ascii="Times New Roman" w:eastAsiaTheme="minorEastAsia" w:hAnsi="Times New Roman" w:cs="Times New Roman"/>
          <w:lang w:eastAsia="et-EE"/>
        </w:rPr>
        <w:t xml:space="preserve">eurot. </w:t>
      </w:r>
    </w:p>
    <w:p w14:paraId="36FE9865" w14:textId="77777777" w:rsidR="002F6B29" w:rsidRPr="0002205C" w:rsidRDefault="002F6B29" w:rsidP="00062F57">
      <w:pPr>
        <w:spacing w:before="120" w:after="120" w:line="269" w:lineRule="auto"/>
        <w:jc w:val="both"/>
        <w:rPr>
          <w:rFonts w:ascii="Times New Roman" w:eastAsia="Times New Roman" w:hAnsi="Times New Roman" w:cs="Times New Roman"/>
          <w:b/>
          <w:u w:val="single"/>
          <w:lang w:eastAsia="et-EE"/>
        </w:rPr>
      </w:pPr>
      <w:r w:rsidRPr="0002205C">
        <w:rPr>
          <w:rFonts w:ascii="Times New Roman" w:eastAsia="Times New Roman" w:hAnsi="Times New Roman" w:cs="Times New Roman"/>
          <w:b/>
          <w:u w:val="single"/>
          <w:lang w:eastAsia="et-EE"/>
        </w:rPr>
        <w:t>Diskussioon</w:t>
      </w:r>
    </w:p>
    <w:p w14:paraId="60293008" w14:textId="77777777" w:rsidR="005E177A" w:rsidRPr="00F412BA" w:rsidRDefault="0002205C" w:rsidP="00F412BA">
      <w:pPr>
        <w:spacing w:before="120" w:after="120" w:line="269" w:lineRule="auto"/>
        <w:jc w:val="both"/>
        <w:rPr>
          <w:rFonts w:ascii="Times New Roman" w:eastAsia="Times New Roman" w:hAnsi="Times New Roman" w:cs="Times New Roman"/>
          <w:lang w:eastAsia="et-EE"/>
        </w:rPr>
      </w:pPr>
      <w:r w:rsidRPr="00F412BA">
        <w:rPr>
          <w:rFonts w:ascii="Times New Roman" w:eastAsia="Times New Roman" w:hAnsi="Times New Roman" w:cs="Times New Roman"/>
          <w:lang w:eastAsia="et-EE"/>
        </w:rPr>
        <w:lastRenderedPageBreak/>
        <w:t xml:space="preserve">Komisjon </w:t>
      </w:r>
      <w:r w:rsidR="00B866EE" w:rsidRPr="00F412BA">
        <w:rPr>
          <w:rFonts w:ascii="Times New Roman" w:eastAsia="Times New Roman" w:hAnsi="Times New Roman" w:cs="Times New Roman"/>
          <w:lang w:eastAsia="et-EE"/>
        </w:rPr>
        <w:t xml:space="preserve">tuletas meelde </w:t>
      </w:r>
      <w:r w:rsidR="00424A41" w:rsidRPr="00F412BA">
        <w:rPr>
          <w:rFonts w:ascii="Times New Roman" w:eastAsia="Times New Roman" w:hAnsi="Times New Roman" w:cs="Times New Roman"/>
          <w:lang w:eastAsia="et-EE"/>
        </w:rPr>
        <w:t>22.05.2017</w:t>
      </w:r>
      <w:r w:rsidR="003012EA">
        <w:rPr>
          <w:rFonts w:ascii="Times New Roman" w:eastAsia="Times New Roman" w:hAnsi="Times New Roman" w:cs="Times New Roman"/>
          <w:lang w:eastAsia="et-EE"/>
        </w:rPr>
        <w:t>.</w:t>
      </w:r>
      <w:r w:rsidR="00424A41" w:rsidRPr="00F412BA">
        <w:rPr>
          <w:rFonts w:ascii="Times New Roman" w:eastAsia="Times New Roman" w:hAnsi="Times New Roman" w:cs="Times New Roman"/>
          <w:lang w:eastAsia="et-EE"/>
        </w:rPr>
        <w:t xml:space="preserve"> arutelu põhipunktid ning võttis arvesse taotleja esitatud täpsustusi. </w:t>
      </w:r>
    </w:p>
    <w:p w14:paraId="27249ED7" w14:textId="77777777" w:rsidR="00AB7829" w:rsidRDefault="00170315" w:rsidP="00F412BA">
      <w:pPr>
        <w:spacing w:before="120" w:after="120" w:line="269"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Meenutati a</w:t>
      </w:r>
      <w:r w:rsidR="00AB7829" w:rsidRPr="00F412BA">
        <w:rPr>
          <w:rFonts w:ascii="Times New Roman" w:eastAsia="Times New Roman" w:hAnsi="Times New Roman" w:cs="Times New Roman"/>
          <w:lang w:eastAsia="et-EE"/>
        </w:rPr>
        <w:t>rut</w:t>
      </w:r>
      <w:r>
        <w:rPr>
          <w:rFonts w:ascii="Times New Roman" w:eastAsia="Times New Roman" w:hAnsi="Times New Roman" w:cs="Times New Roman"/>
          <w:lang w:eastAsia="et-EE"/>
        </w:rPr>
        <w:t>elu</w:t>
      </w:r>
      <w:r w:rsidR="00AB7829" w:rsidRPr="00F412BA">
        <w:rPr>
          <w:rFonts w:ascii="Times New Roman" w:eastAsia="Times New Roman" w:hAnsi="Times New Roman" w:cs="Times New Roman"/>
          <w:lang w:eastAsia="et-EE"/>
        </w:rPr>
        <w:t xml:space="preserve">, kas sellises staadiumis patsientidel ei oleks mõistlikum kasutada elukvaliteeti parandavat palliatsiooni, selle asemel et kasutada ravimeid, mille kasu prognoosi osas on keskmiselt väga väike, ent millel esinevad olulised kõrvaltoimed. ESMO ravijuhendis on viie palli süsteemis antud trifluridiin + tipiratsiilile </w:t>
      </w:r>
      <w:r w:rsidR="003012EA">
        <w:rPr>
          <w:rFonts w:ascii="Times New Roman" w:eastAsia="Times New Roman" w:hAnsi="Times New Roman" w:cs="Times New Roman"/>
          <w:lang w:eastAsia="et-EE"/>
        </w:rPr>
        <w:t>hinnanguks</w:t>
      </w:r>
      <w:r w:rsidR="003012EA" w:rsidRPr="00F412BA">
        <w:rPr>
          <w:rFonts w:ascii="Times New Roman" w:eastAsia="Times New Roman" w:hAnsi="Times New Roman" w:cs="Times New Roman"/>
          <w:lang w:eastAsia="et-EE"/>
        </w:rPr>
        <w:t xml:space="preserve"> </w:t>
      </w:r>
      <w:r w:rsidR="00AB7829" w:rsidRPr="00F412BA">
        <w:rPr>
          <w:rFonts w:ascii="Times New Roman" w:eastAsia="Times New Roman" w:hAnsi="Times New Roman" w:cs="Times New Roman"/>
          <w:lang w:eastAsia="et-EE"/>
        </w:rPr>
        <w:t>„2“. Seejuures „4“ ja „5“ iseloomustavad kõrgel tasemel tõestatud kliinilist kasu.</w:t>
      </w:r>
      <w:r w:rsidR="003012EA">
        <w:rPr>
          <w:rFonts w:ascii="Times New Roman" w:eastAsia="Times New Roman" w:hAnsi="Times New Roman" w:cs="Times New Roman"/>
          <w:lang w:eastAsia="et-EE"/>
        </w:rPr>
        <w:t xml:space="preserve"> </w:t>
      </w:r>
      <w:r>
        <w:rPr>
          <w:rFonts w:ascii="Times New Roman" w:eastAsia="Times New Roman" w:hAnsi="Times New Roman" w:cs="Times New Roman"/>
          <w:lang w:eastAsia="et-EE"/>
        </w:rPr>
        <w:t>V</w:t>
      </w:r>
      <w:r w:rsidR="00AB7829" w:rsidRPr="00F412BA">
        <w:rPr>
          <w:rFonts w:ascii="Times New Roman" w:eastAsia="Times New Roman" w:hAnsi="Times New Roman" w:cs="Times New Roman"/>
          <w:lang w:eastAsia="et-EE"/>
        </w:rPr>
        <w:t xml:space="preserve">äikseim elulemuse kasu, mida komisjon on aktsepteerinud, oli ligikaudu kaks kuud, kuid seda olukorras, kus tegemist oli I rea raviga. </w:t>
      </w:r>
    </w:p>
    <w:p w14:paraId="42EE6237" w14:textId="6692ED76" w:rsidR="0002205C" w:rsidRPr="0032583A" w:rsidRDefault="00AB45A2" w:rsidP="00B866EE">
      <w:pPr>
        <w:spacing w:before="120" w:after="120" w:line="269" w:lineRule="auto"/>
        <w:jc w:val="both"/>
        <w:rPr>
          <w:rFonts w:ascii="Times New Roman" w:hAnsi="Times New Roman" w:cs="Times New Roman"/>
        </w:rPr>
      </w:pPr>
      <w:r>
        <w:rPr>
          <w:rFonts w:ascii="Times New Roman" w:eastAsia="Times New Roman" w:hAnsi="Times New Roman" w:cs="Times New Roman"/>
          <w:lang w:eastAsia="et-EE"/>
        </w:rPr>
        <w:t>Taotletav r</w:t>
      </w:r>
      <w:r w:rsidRPr="00AB45A2">
        <w:rPr>
          <w:rFonts w:ascii="Times New Roman" w:eastAsia="Times New Roman" w:hAnsi="Times New Roman" w:cs="Times New Roman"/>
          <w:lang w:eastAsia="et-EE"/>
        </w:rPr>
        <w:t>avim pikendab</w:t>
      </w:r>
      <w:r>
        <w:rPr>
          <w:rFonts w:ascii="Times New Roman" w:eastAsia="Times New Roman" w:hAnsi="Times New Roman" w:cs="Times New Roman"/>
          <w:lang w:eastAsia="et-EE"/>
        </w:rPr>
        <w:t xml:space="preserve"> võrreldes platseeboga</w:t>
      </w:r>
      <w:r w:rsidRPr="00AB45A2">
        <w:rPr>
          <w:rFonts w:ascii="Times New Roman" w:eastAsia="Times New Roman" w:hAnsi="Times New Roman" w:cs="Times New Roman"/>
          <w:lang w:eastAsia="et-EE"/>
        </w:rPr>
        <w:t xml:space="preserve"> </w:t>
      </w:r>
      <w:r w:rsidR="003012EA">
        <w:rPr>
          <w:rFonts w:ascii="Times New Roman" w:eastAsia="Times New Roman" w:hAnsi="Times New Roman" w:cs="Times New Roman"/>
          <w:lang w:eastAsia="et-EE"/>
        </w:rPr>
        <w:t>elulemuse mediaani</w:t>
      </w:r>
      <w:r w:rsidR="00AC2F15">
        <w:rPr>
          <w:rFonts w:ascii="Times New Roman" w:eastAsia="Times New Roman" w:hAnsi="Times New Roman" w:cs="Times New Roman"/>
          <w:lang w:eastAsia="et-EE"/>
        </w:rPr>
        <w:t xml:space="preserve"> </w:t>
      </w:r>
      <w:r>
        <w:rPr>
          <w:rFonts w:ascii="Times New Roman" w:hAnsi="Times New Roman" w:cs="Times New Roman"/>
        </w:rPr>
        <w:t>1,8</w:t>
      </w:r>
      <w:r w:rsidRPr="00AB45A2">
        <w:rPr>
          <w:rFonts w:ascii="Times New Roman" w:hAnsi="Times New Roman" w:cs="Times New Roman"/>
        </w:rPr>
        <w:t xml:space="preserve"> kuud ja progressioonivaba perioodi mediaani </w:t>
      </w:r>
      <w:r>
        <w:rPr>
          <w:rFonts w:ascii="Times New Roman" w:hAnsi="Times New Roman" w:cs="Times New Roman"/>
        </w:rPr>
        <w:t xml:space="preserve">vaid </w:t>
      </w:r>
      <w:r w:rsidRPr="00AB45A2">
        <w:rPr>
          <w:rFonts w:ascii="Times New Roman" w:hAnsi="Times New Roman" w:cs="Times New Roman"/>
        </w:rPr>
        <w:t>0,3 kuud ehk 10 päeva.</w:t>
      </w:r>
      <w:r w:rsidR="0086386E">
        <w:rPr>
          <w:rFonts w:ascii="Times New Roman" w:hAnsi="Times New Roman" w:cs="Times New Roman"/>
        </w:rPr>
        <w:t xml:space="preserve"> Nii väikest raviefekti saaks aktsepteerida olukorras, kus ravim on küll väheefektiivne, kui kõrvaltoimete vaba ja parandaks või säilitaks patsiendi elukvaliteeti. Taotletav ravim ei lükka progressiooni edasi</w:t>
      </w:r>
      <w:r w:rsidR="003012EA">
        <w:rPr>
          <w:rFonts w:ascii="Times New Roman" w:hAnsi="Times New Roman" w:cs="Times New Roman"/>
        </w:rPr>
        <w:t>,</w:t>
      </w:r>
      <w:r w:rsidR="0086386E">
        <w:rPr>
          <w:rFonts w:ascii="Times New Roman" w:hAnsi="Times New Roman" w:cs="Times New Roman"/>
        </w:rPr>
        <w:t xml:space="preserve"> vaid pikendab </w:t>
      </w:r>
      <w:r w:rsidR="003012EA">
        <w:rPr>
          <w:rFonts w:ascii="Times New Roman" w:hAnsi="Times New Roman" w:cs="Times New Roman"/>
        </w:rPr>
        <w:t xml:space="preserve">veidi </w:t>
      </w:r>
      <w:r w:rsidR="0086386E">
        <w:rPr>
          <w:rFonts w:ascii="Times New Roman" w:hAnsi="Times New Roman" w:cs="Times New Roman"/>
        </w:rPr>
        <w:t xml:space="preserve">selle foonil elamist, elukvaliteet </w:t>
      </w:r>
      <w:r w:rsidR="003012EA">
        <w:rPr>
          <w:rFonts w:ascii="Times New Roman" w:hAnsi="Times New Roman" w:cs="Times New Roman"/>
        </w:rPr>
        <w:t xml:space="preserve">on sel perioodil </w:t>
      </w:r>
      <w:r w:rsidR="0086386E">
        <w:rPr>
          <w:rFonts w:ascii="Times New Roman" w:hAnsi="Times New Roman" w:cs="Times New Roman"/>
        </w:rPr>
        <w:t xml:space="preserve">madal. Komisjoni hinnangul ei ole ravimi </w:t>
      </w:r>
      <w:r w:rsidR="0032583A">
        <w:rPr>
          <w:rFonts w:ascii="Times New Roman" w:hAnsi="Times New Roman" w:cs="Times New Roman"/>
        </w:rPr>
        <w:t xml:space="preserve">eest küsitav </w:t>
      </w:r>
      <w:r w:rsidR="0086386E">
        <w:rPr>
          <w:rFonts w:ascii="Times New Roman" w:hAnsi="Times New Roman" w:cs="Times New Roman"/>
        </w:rPr>
        <w:t xml:space="preserve">hind ning sellest saadav </w:t>
      </w:r>
      <w:r w:rsidR="003012EA">
        <w:rPr>
          <w:rFonts w:ascii="Times New Roman" w:hAnsi="Times New Roman" w:cs="Times New Roman"/>
        </w:rPr>
        <w:t xml:space="preserve">väga väike </w:t>
      </w:r>
      <w:r w:rsidR="0032583A">
        <w:rPr>
          <w:rFonts w:ascii="Times New Roman" w:hAnsi="Times New Roman" w:cs="Times New Roman"/>
        </w:rPr>
        <w:t xml:space="preserve">kliiniline </w:t>
      </w:r>
      <w:r w:rsidR="00D248A8">
        <w:rPr>
          <w:rFonts w:ascii="Times New Roman" w:hAnsi="Times New Roman" w:cs="Times New Roman"/>
        </w:rPr>
        <w:t>kasu</w:t>
      </w:r>
      <w:r w:rsidR="0032583A">
        <w:rPr>
          <w:rFonts w:ascii="Times New Roman" w:hAnsi="Times New Roman" w:cs="Times New Roman"/>
        </w:rPr>
        <w:t xml:space="preserve"> tasakaalus. Ravimi soodusloetellu lisamiseks </w:t>
      </w:r>
      <w:r w:rsidR="003012EA">
        <w:rPr>
          <w:rFonts w:ascii="Times New Roman" w:hAnsi="Times New Roman" w:cs="Times New Roman"/>
        </w:rPr>
        <w:t>peaks</w:t>
      </w:r>
      <w:r w:rsidR="0032583A">
        <w:rPr>
          <w:rFonts w:ascii="Times New Roman" w:hAnsi="Times New Roman" w:cs="Times New Roman"/>
        </w:rPr>
        <w:t xml:space="preserve"> ICER/QALY </w:t>
      </w:r>
      <w:r w:rsidR="003012EA">
        <w:rPr>
          <w:rFonts w:ascii="Times New Roman" w:hAnsi="Times New Roman" w:cs="Times New Roman"/>
        </w:rPr>
        <w:t xml:space="preserve">olema </w:t>
      </w:r>
      <w:r w:rsidR="0032583A">
        <w:rPr>
          <w:rFonts w:ascii="Times New Roman" w:hAnsi="Times New Roman" w:cs="Times New Roman"/>
        </w:rPr>
        <w:t xml:space="preserve"> samaväärne teiste </w:t>
      </w:r>
      <w:r w:rsidR="003205E6">
        <w:rPr>
          <w:rFonts w:ascii="Times New Roman" w:hAnsi="Times New Roman" w:cs="Times New Roman"/>
        </w:rPr>
        <w:t>haiguste (sh muud vähipaikmed) raviks kasutatavate ravimite profiiliga (</w:t>
      </w:r>
      <w:r w:rsidR="0032583A">
        <w:rPr>
          <w:rFonts w:ascii="Times New Roman" w:hAnsi="Times New Roman" w:cs="Times New Roman"/>
        </w:rPr>
        <w:t>≥3 ravir</w:t>
      </w:r>
      <w:r w:rsidR="003205E6">
        <w:rPr>
          <w:rFonts w:ascii="Times New Roman" w:hAnsi="Times New Roman" w:cs="Times New Roman"/>
        </w:rPr>
        <w:t xml:space="preserve">ida, </w:t>
      </w:r>
      <w:r w:rsidR="0032583A">
        <w:rPr>
          <w:rFonts w:ascii="Times New Roman" w:hAnsi="Times New Roman" w:cs="Times New Roman"/>
        </w:rPr>
        <w:t>väike kliinili</w:t>
      </w:r>
      <w:r w:rsidR="003205E6">
        <w:rPr>
          <w:rFonts w:ascii="Times New Roman" w:hAnsi="Times New Roman" w:cs="Times New Roman"/>
        </w:rPr>
        <w:t>n</w:t>
      </w:r>
      <w:r w:rsidR="0032583A">
        <w:rPr>
          <w:rFonts w:ascii="Times New Roman" w:hAnsi="Times New Roman" w:cs="Times New Roman"/>
        </w:rPr>
        <w:t>e efekt</w:t>
      </w:r>
      <w:r w:rsidR="003205E6">
        <w:rPr>
          <w:rFonts w:ascii="Times New Roman" w:hAnsi="Times New Roman" w:cs="Times New Roman"/>
        </w:rPr>
        <w:t>, sagedased</w:t>
      </w:r>
      <w:r w:rsidR="0032583A">
        <w:rPr>
          <w:rFonts w:ascii="Times New Roman" w:hAnsi="Times New Roman" w:cs="Times New Roman"/>
        </w:rPr>
        <w:t xml:space="preserve"> kõrvaltoime</w:t>
      </w:r>
      <w:r w:rsidR="003205E6">
        <w:rPr>
          <w:rFonts w:ascii="Times New Roman" w:hAnsi="Times New Roman" w:cs="Times New Roman"/>
        </w:rPr>
        <w:t>d)</w:t>
      </w:r>
      <w:r w:rsidR="0032583A">
        <w:rPr>
          <w:rFonts w:ascii="Times New Roman" w:hAnsi="Times New Roman" w:cs="Times New Roman"/>
        </w:rPr>
        <w:t>.</w:t>
      </w:r>
    </w:p>
    <w:p w14:paraId="4E3AB617" w14:textId="77777777" w:rsidR="0002205C" w:rsidRPr="0002205C" w:rsidRDefault="0002205C" w:rsidP="0002205C">
      <w:pPr>
        <w:spacing w:before="120" w:after="120" w:line="269" w:lineRule="auto"/>
        <w:jc w:val="both"/>
        <w:rPr>
          <w:rFonts w:ascii="Times New Roman" w:eastAsia="Times New Roman" w:hAnsi="Times New Roman" w:cs="Times New Roman"/>
          <w:b/>
          <w:u w:val="single"/>
          <w:lang w:eastAsia="et-EE"/>
        </w:rPr>
      </w:pPr>
      <w:r w:rsidRPr="0002205C">
        <w:rPr>
          <w:rFonts w:ascii="Times New Roman" w:eastAsia="Times New Roman" w:hAnsi="Times New Roman" w:cs="Times New Roman"/>
          <w:b/>
          <w:u w:val="single"/>
          <w:lang w:eastAsia="et-EE"/>
        </w:rPr>
        <w:t>Komisjoni arvamus (ühehäälne)</w:t>
      </w:r>
    </w:p>
    <w:p w14:paraId="3D686F97" w14:textId="77777777" w:rsidR="00062F57" w:rsidRPr="002E3184" w:rsidRDefault="0002205C" w:rsidP="0002205C">
      <w:pPr>
        <w:spacing w:before="120" w:after="120" w:line="269" w:lineRule="auto"/>
        <w:jc w:val="both"/>
        <w:rPr>
          <w:rFonts w:ascii="Times New Roman" w:eastAsia="Times New Roman" w:hAnsi="Times New Roman" w:cs="Times New Roman"/>
          <w:lang w:val="en-US" w:eastAsia="et-EE"/>
        </w:rPr>
      </w:pPr>
      <w:bookmarkStart w:id="19" w:name="_Hlk511658461"/>
      <w:r w:rsidRPr="0002205C">
        <w:rPr>
          <w:rFonts w:ascii="Times New Roman" w:eastAsia="Times New Roman" w:hAnsi="Times New Roman" w:cs="Times New Roman"/>
          <w:lang w:eastAsia="et-EE"/>
        </w:rPr>
        <w:t xml:space="preserve">Soovitada haigekassa juhatusel rahuldada taotlus </w:t>
      </w:r>
      <w:r w:rsidR="002E3184">
        <w:rPr>
          <w:rFonts w:ascii="Times New Roman" w:eastAsia="Times New Roman" w:hAnsi="Times New Roman" w:cs="Times New Roman"/>
          <w:lang w:eastAsia="et-EE"/>
        </w:rPr>
        <w:t>tingimusel, et</w:t>
      </w:r>
      <w:r w:rsidR="002E3184" w:rsidRPr="002E3184">
        <w:rPr>
          <w:rFonts w:ascii="Times New Roman" w:eastAsia="Times New Roman" w:hAnsi="Times New Roman" w:cs="Times New Roman"/>
          <w:lang w:eastAsia="et-EE"/>
        </w:rPr>
        <w:t xml:space="preserve"> kulutõhususe näitaja kvaliteetselt elatud eluaastate kohta ei ületa 40 000 eurot</w:t>
      </w:r>
      <w:r w:rsidR="003205E6">
        <w:rPr>
          <w:rFonts w:ascii="Times New Roman" w:eastAsia="Times New Roman" w:hAnsi="Times New Roman" w:cs="Times New Roman"/>
          <w:lang w:eastAsia="et-EE"/>
        </w:rPr>
        <w:t xml:space="preserve"> ja sõlmitakse eelarvelaega hinnakokkulepe. </w:t>
      </w:r>
    </w:p>
    <w:bookmarkEnd w:id="19"/>
    <w:p w14:paraId="6A8DC886" w14:textId="77777777" w:rsidR="00CF6661" w:rsidRPr="0066219C" w:rsidRDefault="00CF6661" w:rsidP="00CF6661">
      <w:pPr>
        <w:pBdr>
          <w:top w:val="single" w:sz="24" w:space="0" w:color="4F81BD"/>
          <w:left w:val="single" w:sz="24" w:space="0" w:color="4F81BD"/>
          <w:bottom w:val="single" w:sz="24" w:space="0" w:color="4F81BD"/>
          <w:right w:val="single" w:sz="24" w:space="0" w:color="4F81BD"/>
        </w:pBdr>
        <w:shd w:val="clear" w:color="auto" w:fill="4F81BD"/>
        <w:spacing w:after="0" w:line="269" w:lineRule="auto"/>
        <w:jc w:val="both"/>
        <w:outlineLvl w:val="0"/>
        <w:rPr>
          <w:rFonts w:ascii="Times New Roman" w:eastAsia="Times New Roman" w:hAnsi="Times New Roman" w:cs="Times New Roman"/>
          <w:b/>
          <w:bCs/>
          <w:caps/>
          <w:spacing w:val="15"/>
        </w:rPr>
      </w:pPr>
      <w:r>
        <w:rPr>
          <w:rFonts w:ascii="Times New Roman" w:eastAsia="Times New Roman" w:hAnsi="Times New Roman" w:cs="Times New Roman"/>
          <w:b/>
          <w:bCs/>
          <w:caps/>
          <w:color w:val="FFFFFF"/>
          <w:spacing w:val="15"/>
        </w:rPr>
        <w:t>5. LISAKÜSIMUSED</w:t>
      </w:r>
    </w:p>
    <w:p w14:paraId="5C52A042" w14:textId="77777777" w:rsidR="00F76B57" w:rsidRPr="00E312B0" w:rsidRDefault="00E312B0" w:rsidP="00234D5C">
      <w:pPr>
        <w:pStyle w:val="Normaallaadveeb"/>
        <w:kinsoku w:val="0"/>
        <w:overflowPunct w:val="0"/>
        <w:spacing w:before="50" w:beforeAutospacing="0" w:after="120" w:afterAutospacing="0"/>
        <w:jc w:val="both"/>
        <w:textAlignment w:val="baseline"/>
        <w:rPr>
          <w:rFonts w:eastAsiaTheme="minorEastAsia"/>
          <w:b/>
          <w:bCs/>
          <w:szCs w:val="22"/>
        </w:rPr>
      </w:pPr>
      <w:r>
        <w:rPr>
          <w:rFonts w:eastAsiaTheme="minorEastAsia"/>
          <w:b/>
          <w:bCs/>
          <w:sz w:val="22"/>
          <w:szCs w:val="22"/>
        </w:rPr>
        <w:t xml:space="preserve">- </w:t>
      </w:r>
      <w:r w:rsidR="00315C61" w:rsidRPr="00315C61">
        <w:rPr>
          <w:b/>
          <w:sz w:val="22"/>
          <w:szCs w:val="22"/>
        </w:rPr>
        <w:t>Uue põlvkonna suukaudsete antikoagulantide (apiksabaan, dabigatraan, rivaroksabaan) soodustingimuste muutmisest kodade virvendusarütmia (I48) näidustusel</w:t>
      </w:r>
    </w:p>
    <w:p w14:paraId="68DAED2C" w14:textId="77777777" w:rsidR="005D6E33" w:rsidRDefault="005D6E33" w:rsidP="00234D5C">
      <w:pPr>
        <w:pStyle w:val="Normaallaadveeb"/>
        <w:kinsoku w:val="0"/>
        <w:overflowPunct w:val="0"/>
        <w:spacing w:before="50" w:beforeAutospacing="0" w:after="120" w:afterAutospacing="0"/>
        <w:jc w:val="both"/>
        <w:textAlignment w:val="baseline"/>
        <w:rPr>
          <w:rFonts w:eastAsiaTheme="minorEastAsia"/>
          <w:b/>
          <w:color w:val="000000" w:themeColor="text1"/>
          <w:sz w:val="22"/>
          <w:szCs w:val="22"/>
        </w:rPr>
      </w:pPr>
      <w:r w:rsidRPr="005D6E33">
        <w:rPr>
          <w:rFonts w:eastAsiaTheme="minorEastAsia"/>
          <w:b/>
          <w:color w:val="000000" w:themeColor="text1"/>
          <w:sz w:val="22"/>
          <w:szCs w:val="22"/>
        </w:rPr>
        <w:t>Sissejuhatus/probleemiasetu</w:t>
      </w:r>
      <w:r>
        <w:rPr>
          <w:rFonts w:eastAsiaTheme="minorEastAsia"/>
          <w:b/>
          <w:color w:val="000000" w:themeColor="text1"/>
          <w:sz w:val="22"/>
          <w:szCs w:val="22"/>
        </w:rPr>
        <w:t>s</w:t>
      </w:r>
    </w:p>
    <w:p w14:paraId="31C9B216" w14:textId="77777777" w:rsidR="006C5307" w:rsidRPr="006C5307" w:rsidRDefault="003012EA" w:rsidP="006C5307">
      <w:pPr>
        <w:pStyle w:val="Normaallaadveeb"/>
        <w:kinsoku w:val="0"/>
        <w:overflowPunct w:val="0"/>
        <w:spacing w:before="120" w:beforeAutospacing="0" w:after="120" w:afterAutospacing="0" w:line="269" w:lineRule="auto"/>
        <w:jc w:val="both"/>
        <w:textAlignment w:val="baseline"/>
        <w:rPr>
          <w:rFonts w:eastAsiaTheme="minorEastAsia"/>
          <w:color w:val="000000" w:themeColor="text1"/>
          <w:sz w:val="22"/>
        </w:rPr>
      </w:pPr>
      <w:r>
        <w:rPr>
          <w:rFonts w:eastAsiaTheme="minorEastAsia"/>
          <w:color w:val="000000" w:themeColor="text1"/>
          <w:sz w:val="22"/>
        </w:rPr>
        <w:t>OSAK</w:t>
      </w:r>
      <w:r w:rsidR="006C5307" w:rsidRPr="006C5307">
        <w:rPr>
          <w:rFonts w:eastAsiaTheme="minorEastAsia"/>
          <w:color w:val="000000" w:themeColor="text1"/>
          <w:sz w:val="22"/>
        </w:rPr>
        <w:t>-d</w:t>
      </w:r>
      <w:r w:rsidR="00635E83">
        <w:rPr>
          <w:rFonts w:eastAsiaTheme="minorEastAsia"/>
          <w:color w:val="000000" w:themeColor="text1"/>
          <w:sz w:val="22"/>
        </w:rPr>
        <w:t xml:space="preserve"> (</w:t>
      </w:r>
      <w:r>
        <w:rPr>
          <w:rFonts w:eastAsiaTheme="minorEastAsia"/>
          <w:color w:val="000000" w:themeColor="text1"/>
          <w:sz w:val="22"/>
        </w:rPr>
        <w:t>otsese toimega suukaudsed antikoagulandid</w:t>
      </w:r>
      <w:r w:rsidR="00385146">
        <w:rPr>
          <w:rFonts w:eastAsiaTheme="minorEastAsia"/>
          <w:color w:val="000000" w:themeColor="text1"/>
          <w:sz w:val="22"/>
        </w:rPr>
        <w:t>)</w:t>
      </w:r>
      <w:r w:rsidR="006C5307" w:rsidRPr="006C5307">
        <w:rPr>
          <w:rFonts w:eastAsiaTheme="minorEastAsia"/>
          <w:color w:val="000000" w:themeColor="text1"/>
          <w:sz w:val="22"/>
        </w:rPr>
        <w:t xml:space="preserve"> apiksabaan, dabigatraan, rivaroksabaan on soodustatud 50% ulatuses kõigile patsientidele näidustusest olenemata ning alates 1.04.2014 75%/90% ulatuses kodade virvendusarütmia (</w:t>
      </w:r>
      <w:r w:rsidR="006C5307" w:rsidRPr="006C5307">
        <w:rPr>
          <w:rFonts w:eastAsiaTheme="minorEastAsia"/>
          <w:i/>
          <w:color w:val="000000" w:themeColor="text1"/>
          <w:sz w:val="22"/>
        </w:rPr>
        <w:t xml:space="preserve">edaspidi KVA, </w:t>
      </w:r>
      <w:r w:rsidR="006C5307" w:rsidRPr="006C5307">
        <w:rPr>
          <w:rFonts w:eastAsiaTheme="minorEastAsia"/>
          <w:color w:val="000000" w:themeColor="text1"/>
          <w:sz w:val="22"/>
        </w:rPr>
        <w:t>I48) puhul järgmistel tingimustel: ravimi väljakirjutamise õigus patsientidele, kellele varfariin on kõrval- või koostoimete tõttu vastunäidustatud, kellel esineb varfariini toime ebastabiilsus (ravi on läbi viidud vähemalt 4 kuu jooksul, millest viimase 3 kuu jooksul on INRi mõõdetud vähemalt 10 korral ja INR on jäänud terapeutilisse vahemikku &lt;60% mõõtmiskordadest) või resistentsus varfariinile (varfariini igapäevane annus &gt;12mg).</w:t>
      </w:r>
    </w:p>
    <w:p w14:paraId="21C1CE8F" w14:textId="77777777" w:rsidR="00592491" w:rsidRDefault="006C5307" w:rsidP="006C5307">
      <w:pPr>
        <w:pStyle w:val="Normaallaadveeb"/>
        <w:kinsoku w:val="0"/>
        <w:overflowPunct w:val="0"/>
        <w:spacing w:before="120" w:beforeAutospacing="0" w:after="120" w:afterAutospacing="0" w:line="269" w:lineRule="auto"/>
        <w:jc w:val="both"/>
        <w:textAlignment w:val="baseline"/>
        <w:rPr>
          <w:rFonts w:eastAsiaTheme="minorEastAsia"/>
          <w:color w:val="000000" w:themeColor="text1"/>
          <w:sz w:val="22"/>
        </w:rPr>
      </w:pPr>
      <w:r w:rsidRPr="006C5307">
        <w:rPr>
          <w:rFonts w:eastAsiaTheme="minorEastAsia"/>
          <w:color w:val="000000" w:themeColor="text1"/>
          <w:sz w:val="22"/>
        </w:rPr>
        <w:t xml:space="preserve">Eeltoodud tingimuste kehtestamisel teadvustati, et varfariinravil on mitmeid kitsaskohti - eelkõige vajadus ravimi kitsa terapeutilise vahemiku tõttu selle antitrombootilist toimet regulaarselt monitoorida ja annust kaasuvate haiguste ägenemise, koostoimete või toitumismuudatuste tõttu kohandada. Antikoagulantravi oli Eestis selgelt alakasutatud ning seda võis osalt seletada varfariini toimemehhanismist tuleneva veritsusriski ja ravitoime jälgimise keerukusega. </w:t>
      </w:r>
    </w:p>
    <w:p w14:paraId="231E1240" w14:textId="77777777" w:rsidR="006C5307" w:rsidRPr="00FF25AA" w:rsidRDefault="00DF3FF3" w:rsidP="00FF25AA">
      <w:pPr>
        <w:pStyle w:val="Normaallaadveeb"/>
        <w:kinsoku w:val="0"/>
        <w:overflowPunct w:val="0"/>
        <w:spacing w:before="120" w:beforeAutospacing="0" w:after="120" w:afterAutospacing="0" w:line="269" w:lineRule="auto"/>
        <w:jc w:val="both"/>
        <w:textAlignment w:val="baseline"/>
        <w:rPr>
          <w:rFonts w:eastAsiaTheme="minorEastAsia"/>
          <w:color w:val="000000" w:themeColor="text1"/>
          <w:sz w:val="22"/>
        </w:rPr>
      </w:pPr>
      <w:r>
        <w:rPr>
          <w:rFonts w:eastAsiaTheme="minorEastAsia"/>
          <w:color w:val="000000" w:themeColor="text1"/>
          <w:sz w:val="22"/>
        </w:rPr>
        <w:t>OSAK</w:t>
      </w:r>
      <w:r w:rsidR="006C5307" w:rsidRPr="006C5307">
        <w:rPr>
          <w:rFonts w:eastAsiaTheme="minorEastAsia"/>
          <w:color w:val="000000" w:themeColor="text1"/>
          <w:sz w:val="22"/>
        </w:rPr>
        <w:t>-</w:t>
      </w:r>
      <w:r w:rsidR="00D17FED">
        <w:rPr>
          <w:rFonts w:eastAsiaTheme="minorEastAsia"/>
          <w:color w:val="000000" w:themeColor="text1"/>
          <w:sz w:val="22"/>
        </w:rPr>
        <w:t>d</w:t>
      </w:r>
      <w:r w:rsidR="006C5307" w:rsidRPr="006C5307">
        <w:rPr>
          <w:rFonts w:eastAsiaTheme="minorEastAsia"/>
          <w:color w:val="000000" w:themeColor="text1"/>
          <w:sz w:val="22"/>
        </w:rPr>
        <w:t xml:space="preserve">e toime on stabiilne </w:t>
      </w:r>
      <w:r w:rsidR="00592491">
        <w:rPr>
          <w:rFonts w:eastAsiaTheme="minorEastAsia"/>
          <w:color w:val="000000" w:themeColor="text1"/>
          <w:sz w:val="22"/>
        </w:rPr>
        <w:t>ja</w:t>
      </w:r>
      <w:r w:rsidR="006C5307" w:rsidRPr="006C5307">
        <w:rPr>
          <w:rFonts w:eastAsiaTheme="minorEastAsia"/>
          <w:color w:val="000000" w:themeColor="text1"/>
          <w:sz w:val="22"/>
        </w:rPr>
        <w:t xml:space="preserve"> ravi ohutuks läbiviimiseks vajalik jälgimine on harvem </w:t>
      </w:r>
      <w:r w:rsidR="00592491">
        <w:rPr>
          <w:rFonts w:eastAsiaTheme="minorEastAsia"/>
          <w:color w:val="000000" w:themeColor="text1"/>
          <w:sz w:val="22"/>
        </w:rPr>
        <w:t>ning</w:t>
      </w:r>
      <w:r w:rsidR="006C5307" w:rsidRPr="006C5307">
        <w:rPr>
          <w:rFonts w:eastAsiaTheme="minorEastAsia"/>
          <w:color w:val="000000" w:themeColor="text1"/>
          <w:sz w:val="22"/>
        </w:rPr>
        <w:t xml:space="preserve"> vähem koormav. </w:t>
      </w:r>
      <w:r w:rsidR="00592491">
        <w:rPr>
          <w:rFonts w:eastAsiaTheme="minorEastAsia"/>
          <w:color w:val="000000" w:themeColor="text1"/>
          <w:sz w:val="22"/>
        </w:rPr>
        <w:t>U</w:t>
      </w:r>
      <w:r w:rsidR="006C5307" w:rsidRPr="00FF25AA">
        <w:rPr>
          <w:rFonts w:eastAsiaTheme="minorEastAsia"/>
          <w:color w:val="000000" w:themeColor="text1"/>
          <w:sz w:val="22"/>
        </w:rPr>
        <w:t xml:space="preserve">uringuandmete põhjal on </w:t>
      </w:r>
      <w:r>
        <w:rPr>
          <w:rFonts w:eastAsiaTheme="minorEastAsia"/>
          <w:color w:val="000000" w:themeColor="text1"/>
          <w:sz w:val="22"/>
        </w:rPr>
        <w:t>OSAK-de</w:t>
      </w:r>
      <w:r w:rsidRPr="00FF25AA">
        <w:rPr>
          <w:rFonts w:eastAsiaTheme="minorEastAsia"/>
          <w:color w:val="000000" w:themeColor="text1"/>
          <w:sz w:val="22"/>
        </w:rPr>
        <w:t xml:space="preserve"> </w:t>
      </w:r>
      <w:r w:rsidR="006C5307" w:rsidRPr="00FF25AA">
        <w:rPr>
          <w:rFonts w:eastAsiaTheme="minorEastAsia"/>
          <w:color w:val="000000" w:themeColor="text1"/>
          <w:sz w:val="22"/>
        </w:rPr>
        <w:t>puhul (teisese tulemusnäitajana) insultide, mitte-kesknärvisüsteemi süsteemse emboolia ja vaskulaarsete surmade kogumäär ning insultide, mitte-kesknärvisüsteemi süsteemse emboolia, müokardiinfarktide ja vaskulaarsete surmade kogumäär väiksem varfariiniga võrreldes, samas üldine kõrvaltoimete esinemissagedus sarnane varfariiniga, sh veritsusrisk</w:t>
      </w:r>
      <w:r w:rsidR="006A6B84">
        <w:rPr>
          <w:rStyle w:val="Allmrkuseviide"/>
          <w:rFonts w:eastAsiaTheme="minorEastAsia"/>
          <w:color w:val="000000" w:themeColor="text1"/>
          <w:sz w:val="22"/>
        </w:rPr>
        <w:footnoteReference w:id="4"/>
      </w:r>
      <w:r w:rsidR="006C5307" w:rsidRPr="00FF25AA">
        <w:rPr>
          <w:rFonts w:eastAsiaTheme="minorEastAsia"/>
          <w:color w:val="000000" w:themeColor="text1"/>
          <w:sz w:val="22"/>
        </w:rPr>
        <w:t>.</w:t>
      </w:r>
    </w:p>
    <w:p w14:paraId="53AEF3F8" w14:textId="77777777" w:rsidR="006C5307" w:rsidRPr="00FF25AA" w:rsidRDefault="006C5307" w:rsidP="00FF25AA">
      <w:pPr>
        <w:pStyle w:val="Normaallaadveeb"/>
        <w:kinsoku w:val="0"/>
        <w:overflowPunct w:val="0"/>
        <w:spacing w:before="120" w:beforeAutospacing="0" w:after="120" w:afterAutospacing="0" w:line="269" w:lineRule="auto"/>
        <w:jc w:val="both"/>
        <w:textAlignment w:val="baseline"/>
        <w:rPr>
          <w:rFonts w:eastAsiaTheme="minorEastAsia"/>
          <w:color w:val="000000" w:themeColor="text1"/>
          <w:sz w:val="22"/>
        </w:rPr>
      </w:pPr>
      <w:r w:rsidRPr="00FF25AA">
        <w:rPr>
          <w:rFonts w:eastAsiaTheme="minorEastAsia"/>
          <w:color w:val="000000" w:themeColor="text1"/>
          <w:sz w:val="22"/>
        </w:rPr>
        <w:lastRenderedPageBreak/>
        <w:t xml:space="preserve">Kuna aga </w:t>
      </w:r>
      <w:r w:rsidR="00DF3FF3">
        <w:rPr>
          <w:rFonts w:eastAsiaTheme="minorEastAsia"/>
          <w:color w:val="000000" w:themeColor="text1"/>
          <w:sz w:val="22"/>
        </w:rPr>
        <w:t>OSAK</w:t>
      </w:r>
      <w:r w:rsidRPr="00FF25AA">
        <w:rPr>
          <w:rFonts w:eastAsiaTheme="minorEastAsia"/>
          <w:color w:val="000000" w:themeColor="text1"/>
          <w:sz w:val="22"/>
        </w:rPr>
        <w:t xml:space="preserve">-te maksumus oli võrreldes varfariiniga oluliselt kõrgem ning KVA patsientide üldarv suur, siis peeti põhjendatuks piirata </w:t>
      </w:r>
      <w:r w:rsidR="00DF3FF3">
        <w:rPr>
          <w:rFonts w:eastAsiaTheme="minorEastAsia"/>
          <w:color w:val="000000" w:themeColor="text1"/>
          <w:sz w:val="22"/>
        </w:rPr>
        <w:t>OSAK</w:t>
      </w:r>
      <w:r w:rsidRPr="00FF25AA">
        <w:rPr>
          <w:rFonts w:eastAsiaTheme="minorEastAsia"/>
          <w:color w:val="000000" w:themeColor="text1"/>
          <w:sz w:val="22"/>
        </w:rPr>
        <w:t>-</w:t>
      </w:r>
      <w:r w:rsidR="007F0F97">
        <w:rPr>
          <w:rFonts w:eastAsiaTheme="minorEastAsia"/>
          <w:color w:val="000000" w:themeColor="text1"/>
          <w:sz w:val="22"/>
        </w:rPr>
        <w:t>d</w:t>
      </w:r>
      <w:r w:rsidRPr="00FF25AA">
        <w:rPr>
          <w:rFonts w:eastAsiaTheme="minorEastAsia"/>
          <w:color w:val="000000" w:themeColor="text1"/>
          <w:sz w:val="22"/>
        </w:rPr>
        <w:t>e kõrgema soodusmääraga hüvitamist selliste patsientide sihtrühmaga, kelle raviks varfariin meditsiinilistel põhjustel ei sobi.</w:t>
      </w:r>
    </w:p>
    <w:p w14:paraId="79D25F4F" w14:textId="77777777" w:rsidR="006D066C" w:rsidRDefault="006D066C" w:rsidP="006D066C">
      <w:pPr>
        <w:pStyle w:val="Normaallaadveeb"/>
        <w:kinsoku w:val="0"/>
        <w:overflowPunct w:val="0"/>
        <w:spacing w:before="120" w:beforeAutospacing="0" w:after="120" w:afterAutospacing="0" w:line="269" w:lineRule="auto"/>
        <w:jc w:val="both"/>
        <w:textAlignment w:val="baseline"/>
        <w:rPr>
          <w:rFonts w:eastAsiaTheme="minorEastAsia"/>
          <w:b/>
          <w:color w:val="000000" w:themeColor="text1"/>
          <w:sz w:val="22"/>
          <w:szCs w:val="22"/>
          <w:u w:val="single"/>
        </w:rPr>
      </w:pPr>
      <w:r w:rsidRPr="003377FA">
        <w:rPr>
          <w:rFonts w:eastAsiaTheme="minorEastAsia"/>
          <w:b/>
          <w:color w:val="000000" w:themeColor="text1"/>
          <w:sz w:val="22"/>
          <w:szCs w:val="22"/>
          <w:u w:val="single"/>
        </w:rPr>
        <w:t>Taotluse hindamine RaKS kriteeriumide alusel</w:t>
      </w:r>
    </w:p>
    <w:p w14:paraId="169F6153" w14:textId="77777777" w:rsidR="003377FA" w:rsidRPr="00B47841" w:rsidRDefault="00B47841" w:rsidP="00B47841">
      <w:pPr>
        <w:spacing w:before="120" w:after="120" w:line="269" w:lineRule="auto"/>
        <w:jc w:val="both"/>
        <w:rPr>
          <w:rFonts w:ascii="Times New Roman" w:eastAsia="Calibri" w:hAnsi="Times New Roman" w:cs="Times New Roman"/>
          <w:lang w:eastAsia="et-EE"/>
        </w:rPr>
      </w:pPr>
      <w:r w:rsidRPr="00234D5C">
        <w:rPr>
          <w:rFonts w:ascii="Times New Roman" w:eastAsia="Calibri" w:hAnsi="Times New Roman" w:cs="Times New Roman"/>
          <w:b/>
          <w:lang w:eastAsia="et-EE"/>
        </w:rPr>
        <w:t>Isiku vajadus saada ravimit tulenevalt tervishoiuteenuse osutamisest</w:t>
      </w:r>
      <w:r w:rsidR="00600822">
        <w:rPr>
          <w:rFonts w:ascii="Times New Roman" w:eastAsia="Calibri" w:hAnsi="Times New Roman" w:cs="Times New Roman"/>
          <w:b/>
          <w:lang w:eastAsia="et-EE"/>
        </w:rPr>
        <w:t xml:space="preserve"> ja alternatiivsete ravimite või raviviiside olemasolu</w:t>
      </w:r>
      <w:r w:rsidRPr="00234D5C">
        <w:rPr>
          <w:rFonts w:ascii="Times New Roman" w:eastAsia="Calibri" w:hAnsi="Times New Roman" w:cs="Times New Roman"/>
          <w:b/>
          <w:lang w:eastAsia="et-EE"/>
        </w:rPr>
        <w:t>:</w:t>
      </w:r>
    </w:p>
    <w:p w14:paraId="7B6557EF" w14:textId="77777777" w:rsidR="00FF25AA" w:rsidRPr="00FF25AA" w:rsidRDefault="00FF25AA" w:rsidP="00FF25AA">
      <w:pPr>
        <w:pStyle w:val="Normaallaadveeb"/>
        <w:kinsoku w:val="0"/>
        <w:overflowPunct w:val="0"/>
        <w:spacing w:before="120" w:beforeAutospacing="0" w:after="120" w:afterAutospacing="0" w:line="269" w:lineRule="auto"/>
        <w:jc w:val="both"/>
        <w:textAlignment w:val="baseline"/>
        <w:rPr>
          <w:rFonts w:eastAsiaTheme="minorEastAsia"/>
          <w:color w:val="000000" w:themeColor="text1"/>
          <w:sz w:val="22"/>
        </w:rPr>
      </w:pPr>
      <w:r w:rsidRPr="00FF25AA">
        <w:rPr>
          <w:rFonts w:eastAsiaTheme="minorEastAsia"/>
          <w:color w:val="000000" w:themeColor="text1"/>
          <w:sz w:val="22"/>
        </w:rPr>
        <w:t xml:space="preserve">2017. a on kasutanud varfariini 38% patsientidest (12 505) ning </w:t>
      </w:r>
      <w:r w:rsidR="00DF3FF3">
        <w:rPr>
          <w:rFonts w:eastAsiaTheme="minorEastAsia"/>
          <w:color w:val="000000" w:themeColor="text1"/>
          <w:sz w:val="22"/>
        </w:rPr>
        <w:t>OSAK</w:t>
      </w:r>
      <w:r w:rsidRPr="00FF25AA">
        <w:rPr>
          <w:rFonts w:eastAsiaTheme="minorEastAsia"/>
          <w:color w:val="000000" w:themeColor="text1"/>
          <w:sz w:val="22"/>
        </w:rPr>
        <w:t>-d 68% patsientidest, 73%</w:t>
      </w:r>
      <w:r w:rsidR="00DF3FF3">
        <w:rPr>
          <w:rFonts w:eastAsiaTheme="minorEastAsia"/>
          <w:color w:val="000000" w:themeColor="text1"/>
          <w:sz w:val="22"/>
        </w:rPr>
        <w:t>-le OSAK</w:t>
      </w:r>
      <w:r w:rsidRPr="00FF25AA">
        <w:rPr>
          <w:rFonts w:eastAsiaTheme="minorEastAsia"/>
          <w:color w:val="000000" w:themeColor="text1"/>
          <w:sz w:val="22"/>
        </w:rPr>
        <w:t>-</w:t>
      </w:r>
      <w:r w:rsidR="009A4102">
        <w:rPr>
          <w:rFonts w:eastAsiaTheme="minorEastAsia"/>
          <w:color w:val="000000" w:themeColor="text1"/>
          <w:sz w:val="22"/>
        </w:rPr>
        <w:t>d</w:t>
      </w:r>
      <w:r w:rsidRPr="00FF25AA">
        <w:rPr>
          <w:rFonts w:eastAsiaTheme="minorEastAsia"/>
          <w:color w:val="000000" w:themeColor="text1"/>
          <w:sz w:val="22"/>
        </w:rPr>
        <w:t xml:space="preserve">e kasutajatest kehtib 50% soodusmäär. Eesti Haigekassa prognoosid lubavad oletada, et ka seniste soodustingimuste jätkumisel on varfariini kasutajate osakaal järjest vähenemas, </w:t>
      </w:r>
      <w:r w:rsidR="009A4102">
        <w:rPr>
          <w:rFonts w:eastAsiaTheme="minorEastAsia"/>
          <w:color w:val="000000" w:themeColor="text1"/>
          <w:sz w:val="22"/>
        </w:rPr>
        <w:t>ulatudes</w:t>
      </w:r>
      <w:r w:rsidRPr="00FF25AA">
        <w:rPr>
          <w:rFonts w:eastAsiaTheme="minorEastAsia"/>
          <w:color w:val="000000" w:themeColor="text1"/>
          <w:sz w:val="22"/>
        </w:rPr>
        <w:t xml:space="preserve"> 2020. aastaks 16%-ni suukaudsete antikoagulantide kasutajate koguarvust. Samuti tuleb eeldada, et </w:t>
      </w:r>
      <w:r w:rsidR="00DF3FF3">
        <w:rPr>
          <w:rFonts w:eastAsiaTheme="minorEastAsia"/>
          <w:color w:val="000000" w:themeColor="text1"/>
          <w:sz w:val="22"/>
        </w:rPr>
        <w:t>OSAK</w:t>
      </w:r>
      <w:r w:rsidRPr="00FF25AA">
        <w:rPr>
          <w:rFonts w:eastAsiaTheme="minorEastAsia"/>
          <w:color w:val="000000" w:themeColor="text1"/>
          <w:sz w:val="22"/>
        </w:rPr>
        <w:t>-</w:t>
      </w:r>
      <w:r w:rsidR="009A4102">
        <w:rPr>
          <w:rFonts w:eastAsiaTheme="minorEastAsia"/>
          <w:color w:val="000000" w:themeColor="text1"/>
          <w:sz w:val="22"/>
        </w:rPr>
        <w:t>d</w:t>
      </w:r>
      <w:r w:rsidRPr="00FF25AA">
        <w:rPr>
          <w:rFonts w:eastAsiaTheme="minorEastAsia"/>
          <w:color w:val="000000" w:themeColor="text1"/>
          <w:sz w:val="22"/>
        </w:rPr>
        <w:t xml:space="preserve">e kasutajate arv kasvab eelkõige 50% soodusmäära arvelt, mis võib ulatuda 2020. aastaks 78%-ni </w:t>
      </w:r>
      <w:r w:rsidR="00DF3FF3">
        <w:rPr>
          <w:rFonts w:eastAsiaTheme="minorEastAsia"/>
          <w:color w:val="000000" w:themeColor="text1"/>
          <w:sz w:val="22"/>
        </w:rPr>
        <w:t>OSAK</w:t>
      </w:r>
      <w:r w:rsidRPr="00FF25AA">
        <w:rPr>
          <w:rFonts w:eastAsiaTheme="minorEastAsia"/>
          <w:color w:val="000000" w:themeColor="text1"/>
          <w:sz w:val="22"/>
        </w:rPr>
        <w:t>-te kasutajate koguarvust.</w:t>
      </w:r>
    </w:p>
    <w:p w14:paraId="79EB6129" w14:textId="77777777" w:rsidR="00FF25AA" w:rsidRPr="00FF25AA" w:rsidRDefault="00FF25AA" w:rsidP="00FF25AA">
      <w:pPr>
        <w:pStyle w:val="Normaallaadveeb"/>
        <w:kinsoku w:val="0"/>
        <w:overflowPunct w:val="0"/>
        <w:spacing w:before="120" w:beforeAutospacing="0" w:after="120" w:afterAutospacing="0" w:line="269" w:lineRule="auto"/>
        <w:jc w:val="both"/>
        <w:textAlignment w:val="baseline"/>
        <w:rPr>
          <w:rFonts w:eastAsiaTheme="minorEastAsia"/>
          <w:color w:val="000000" w:themeColor="text1"/>
          <w:sz w:val="22"/>
        </w:rPr>
      </w:pPr>
      <w:r w:rsidRPr="00FF25AA">
        <w:rPr>
          <w:rFonts w:eastAsiaTheme="minorEastAsia"/>
          <w:color w:val="000000" w:themeColor="text1"/>
          <w:sz w:val="22"/>
        </w:rPr>
        <w:t xml:space="preserve">Haigekassa kulutused </w:t>
      </w:r>
      <w:r w:rsidR="00DF3FF3">
        <w:rPr>
          <w:rFonts w:eastAsiaTheme="minorEastAsia"/>
          <w:color w:val="000000" w:themeColor="text1"/>
          <w:sz w:val="22"/>
        </w:rPr>
        <w:t>OSAK</w:t>
      </w:r>
      <w:r w:rsidRPr="00FF25AA">
        <w:rPr>
          <w:rFonts w:eastAsiaTheme="minorEastAsia"/>
          <w:color w:val="000000" w:themeColor="text1"/>
          <w:sz w:val="22"/>
        </w:rPr>
        <w:t>-</w:t>
      </w:r>
      <w:r w:rsidR="00EB40D8">
        <w:rPr>
          <w:rFonts w:eastAsiaTheme="minorEastAsia"/>
          <w:color w:val="000000" w:themeColor="text1"/>
          <w:sz w:val="22"/>
        </w:rPr>
        <w:t>d</w:t>
      </w:r>
      <w:r w:rsidRPr="00FF25AA">
        <w:rPr>
          <w:rFonts w:eastAsiaTheme="minorEastAsia"/>
          <w:color w:val="000000" w:themeColor="text1"/>
          <w:sz w:val="22"/>
        </w:rPr>
        <w:t>e hüvitamisele on suurenenud ja suureneksid edaspidi tempos 1…1,5 miljonit eurot aasta kohta, ulatudes 2020. aastaks kokkuvõttes peaaegu 12 miljoni euroni.</w:t>
      </w:r>
    </w:p>
    <w:p w14:paraId="55FB4D1E" w14:textId="77777777" w:rsidR="00FF25AA" w:rsidRPr="00FF25AA" w:rsidRDefault="00FF25AA" w:rsidP="00FF25AA">
      <w:pPr>
        <w:pStyle w:val="Normaallaadveeb"/>
        <w:kinsoku w:val="0"/>
        <w:overflowPunct w:val="0"/>
        <w:spacing w:before="120" w:beforeAutospacing="0" w:after="120" w:afterAutospacing="0" w:line="269" w:lineRule="auto"/>
        <w:jc w:val="both"/>
        <w:textAlignment w:val="baseline"/>
        <w:rPr>
          <w:rFonts w:eastAsiaTheme="minorEastAsia"/>
          <w:color w:val="000000" w:themeColor="text1"/>
          <w:sz w:val="22"/>
        </w:rPr>
      </w:pPr>
      <w:r w:rsidRPr="00FF25AA">
        <w:rPr>
          <w:rFonts w:eastAsiaTheme="minorEastAsia"/>
          <w:color w:val="000000" w:themeColor="text1"/>
          <w:sz w:val="22"/>
        </w:rPr>
        <w:t xml:space="preserve">Eeltoodud proportsioonide kujunemise põhjuseks on koosmõju, mis tuleneb logistilistest raskustest varfariini toime hindamiseks vajaliku INR-i sagedasel määramisel (mõõta 3 kuu jooksul 10 korda). Proovi võtmiseks tuleb patsiendil suhteliselt tihti külastada oma perearsti, mis on osutunud keeruliseks eakatele ning piiratud liikumisvõimega patsientide jaoks. Seetõttu on erialaspetsialistid sageli läinud kergema vastupanu teed, määrates </w:t>
      </w:r>
      <w:r w:rsidR="00DF3FF3">
        <w:rPr>
          <w:rFonts w:eastAsiaTheme="minorEastAsia"/>
          <w:color w:val="000000" w:themeColor="text1"/>
          <w:sz w:val="22"/>
        </w:rPr>
        <w:t>OSAK</w:t>
      </w:r>
      <w:r w:rsidRPr="00FF25AA">
        <w:rPr>
          <w:rFonts w:eastAsiaTheme="minorEastAsia"/>
          <w:color w:val="000000" w:themeColor="text1"/>
          <w:sz w:val="22"/>
        </w:rPr>
        <w:t xml:space="preserve">-i patsiendile 50% soodusmääraga, </w:t>
      </w:r>
      <w:r w:rsidR="00DF3FF3">
        <w:rPr>
          <w:rFonts w:eastAsiaTheme="minorEastAsia"/>
          <w:color w:val="000000" w:themeColor="text1"/>
          <w:sz w:val="22"/>
        </w:rPr>
        <w:t>kuna sel juhul</w:t>
      </w:r>
      <w:r w:rsidR="00DF3FF3" w:rsidRPr="00FF25AA">
        <w:rPr>
          <w:rFonts w:eastAsiaTheme="minorEastAsia"/>
          <w:color w:val="000000" w:themeColor="text1"/>
          <w:sz w:val="22"/>
        </w:rPr>
        <w:t xml:space="preserve"> </w:t>
      </w:r>
      <w:r w:rsidRPr="00FF25AA">
        <w:rPr>
          <w:rFonts w:eastAsiaTheme="minorEastAsia"/>
          <w:color w:val="000000" w:themeColor="text1"/>
          <w:sz w:val="22"/>
        </w:rPr>
        <w:t xml:space="preserve">kitsendavaid tingimusi ei kehti. </w:t>
      </w:r>
    </w:p>
    <w:p w14:paraId="24CA4F0B" w14:textId="77777777" w:rsidR="00FF25AA" w:rsidRPr="00FF25AA" w:rsidRDefault="00FF25AA" w:rsidP="00FF25AA">
      <w:pPr>
        <w:pStyle w:val="Normaallaadveeb"/>
        <w:kinsoku w:val="0"/>
        <w:overflowPunct w:val="0"/>
        <w:spacing w:before="120" w:beforeAutospacing="0" w:after="120" w:afterAutospacing="0" w:line="269" w:lineRule="auto"/>
        <w:jc w:val="both"/>
        <w:textAlignment w:val="baseline"/>
        <w:rPr>
          <w:rFonts w:eastAsiaTheme="minorEastAsia"/>
          <w:color w:val="000000" w:themeColor="text1"/>
          <w:sz w:val="22"/>
        </w:rPr>
      </w:pPr>
      <w:r w:rsidRPr="00FF25AA">
        <w:rPr>
          <w:rFonts w:eastAsiaTheme="minorEastAsia"/>
          <w:color w:val="000000" w:themeColor="text1"/>
          <w:sz w:val="22"/>
        </w:rPr>
        <w:t xml:space="preserve">Alates 2014. aastast on hüvitatavate </w:t>
      </w:r>
      <w:r w:rsidR="00DF3FF3">
        <w:rPr>
          <w:rFonts w:eastAsiaTheme="minorEastAsia"/>
          <w:color w:val="000000" w:themeColor="text1"/>
          <w:sz w:val="22"/>
        </w:rPr>
        <w:t>OSAK</w:t>
      </w:r>
      <w:r w:rsidRPr="00FF25AA">
        <w:rPr>
          <w:rFonts w:eastAsiaTheme="minorEastAsia"/>
          <w:color w:val="000000" w:themeColor="text1"/>
          <w:sz w:val="22"/>
        </w:rPr>
        <w:t>-</w:t>
      </w:r>
      <w:r w:rsidR="00EB40D8">
        <w:rPr>
          <w:rFonts w:eastAsiaTheme="minorEastAsia"/>
          <w:color w:val="000000" w:themeColor="text1"/>
          <w:sz w:val="22"/>
        </w:rPr>
        <w:t>d</w:t>
      </w:r>
      <w:r w:rsidRPr="00FF25AA">
        <w:rPr>
          <w:rFonts w:eastAsiaTheme="minorEastAsia"/>
          <w:color w:val="000000" w:themeColor="text1"/>
          <w:sz w:val="22"/>
        </w:rPr>
        <w:t>e hinnad tagasihoidlikult langenud, hinnalangus kokkuvõttes jääb 4…6% piiridesse.</w:t>
      </w:r>
    </w:p>
    <w:p w14:paraId="004715FE" w14:textId="77777777" w:rsidR="00FF25AA" w:rsidRPr="00FF25AA" w:rsidRDefault="00FF25AA" w:rsidP="00FF25AA">
      <w:pPr>
        <w:pStyle w:val="Normaallaadveeb"/>
        <w:kinsoku w:val="0"/>
        <w:overflowPunct w:val="0"/>
        <w:spacing w:before="120" w:beforeAutospacing="0" w:after="120" w:afterAutospacing="0" w:line="269" w:lineRule="auto"/>
        <w:jc w:val="both"/>
        <w:textAlignment w:val="baseline"/>
        <w:rPr>
          <w:rFonts w:eastAsiaTheme="minorEastAsia"/>
          <w:color w:val="000000" w:themeColor="text1"/>
          <w:sz w:val="22"/>
        </w:rPr>
      </w:pPr>
      <w:r w:rsidRPr="00FF25AA">
        <w:rPr>
          <w:rFonts w:eastAsiaTheme="minorEastAsia"/>
          <w:color w:val="000000" w:themeColor="text1"/>
          <w:sz w:val="22"/>
        </w:rPr>
        <w:t xml:space="preserve">1.01.2018. a on muudetud täiendava ravimihüvitise rakendamise tingimusi, millest lähtuvalt tekib patsiendil õigus hüvitise saamiseks juba siis, kui tema aastased omaosalusest tulenevad kulutused soodusravimitele ületavad 100 euro künnise. Hüvitist hakatakse automaatselt arvestama patsiendi edasistelt soodusravimite ostudelt apteegis. Arvestades, et ühe </w:t>
      </w:r>
      <w:r w:rsidR="00DF3FF3">
        <w:rPr>
          <w:rFonts w:eastAsiaTheme="minorEastAsia"/>
          <w:color w:val="000000" w:themeColor="text1"/>
          <w:sz w:val="22"/>
        </w:rPr>
        <w:t>OSAK</w:t>
      </w:r>
      <w:r w:rsidRPr="00FF25AA">
        <w:rPr>
          <w:rFonts w:eastAsiaTheme="minorEastAsia"/>
          <w:color w:val="000000" w:themeColor="text1"/>
          <w:sz w:val="22"/>
        </w:rPr>
        <w:t xml:space="preserve">-i retsepti (2 kuu ravi) keskmine maksumus patsiendile 50% soodusmääraga on ligikaudu 70 eurot, on täiendava ravimihüvitise saamiseks vajalike kulude </w:t>
      </w:r>
      <w:r w:rsidR="00DF3FF3">
        <w:rPr>
          <w:rFonts w:eastAsiaTheme="minorEastAsia"/>
          <w:color w:val="000000" w:themeColor="text1"/>
          <w:sz w:val="22"/>
        </w:rPr>
        <w:t>piir</w:t>
      </w:r>
      <w:r w:rsidR="00DF3FF3" w:rsidRPr="00FF25AA">
        <w:rPr>
          <w:rFonts w:eastAsiaTheme="minorEastAsia"/>
          <w:color w:val="000000" w:themeColor="text1"/>
          <w:sz w:val="22"/>
        </w:rPr>
        <w:t xml:space="preserve"> </w:t>
      </w:r>
      <w:r w:rsidR="00DF3FF3">
        <w:rPr>
          <w:rFonts w:eastAsiaTheme="minorEastAsia"/>
          <w:color w:val="000000" w:themeColor="text1"/>
          <w:sz w:val="22"/>
        </w:rPr>
        <w:t>praeguste</w:t>
      </w:r>
      <w:r w:rsidR="00DF3FF3" w:rsidRPr="00FF25AA">
        <w:rPr>
          <w:rFonts w:eastAsiaTheme="minorEastAsia"/>
          <w:color w:val="000000" w:themeColor="text1"/>
          <w:sz w:val="22"/>
        </w:rPr>
        <w:t xml:space="preserve"> </w:t>
      </w:r>
      <w:r w:rsidRPr="00FF25AA">
        <w:rPr>
          <w:rFonts w:eastAsiaTheme="minorEastAsia"/>
          <w:color w:val="000000" w:themeColor="text1"/>
          <w:sz w:val="22"/>
        </w:rPr>
        <w:t xml:space="preserve">hindade juures patsientidel kiiresti saavutatav ning haigekassa kulud </w:t>
      </w:r>
      <w:r w:rsidR="00DF3FF3">
        <w:rPr>
          <w:rFonts w:eastAsiaTheme="minorEastAsia"/>
          <w:color w:val="000000" w:themeColor="text1"/>
          <w:sz w:val="22"/>
        </w:rPr>
        <w:t>OSAK</w:t>
      </w:r>
      <w:r w:rsidRPr="00FF25AA">
        <w:rPr>
          <w:rFonts w:eastAsiaTheme="minorEastAsia"/>
          <w:color w:val="000000" w:themeColor="text1"/>
          <w:sz w:val="22"/>
        </w:rPr>
        <w:t>-</w:t>
      </w:r>
      <w:r w:rsidR="00DF3FF3">
        <w:rPr>
          <w:rFonts w:eastAsiaTheme="minorEastAsia"/>
          <w:color w:val="000000" w:themeColor="text1"/>
          <w:sz w:val="22"/>
        </w:rPr>
        <w:t>d</w:t>
      </w:r>
      <w:r w:rsidRPr="00FF25AA">
        <w:rPr>
          <w:rFonts w:eastAsiaTheme="minorEastAsia"/>
          <w:color w:val="000000" w:themeColor="text1"/>
          <w:sz w:val="22"/>
        </w:rPr>
        <w:t>e hüvitamisele kasvavad rohkem, kui eeldada oskame.</w:t>
      </w:r>
    </w:p>
    <w:p w14:paraId="42235F34" w14:textId="77777777" w:rsidR="00600822" w:rsidRDefault="00600822" w:rsidP="004329B8">
      <w:pPr>
        <w:pStyle w:val="Normaallaadveeb"/>
        <w:kinsoku w:val="0"/>
        <w:overflowPunct w:val="0"/>
        <w:spacing w:before="120" w:beforeAutospacing="0" w:after="120" w:afterAutospacing="0" w:line="269" w:lineRule="auto"/>
        <w:jc w:val="both"/>
        <w:textAlignment w:val="baseline"/>
        <w:rPr>
          <w:rFonts w:eastAsia="Calibri"/>
          <w:b/>
        </w:rPr>
      </w:pPr>
      <w:r w:rsidRPr="001E543E">
        <w:rPr>
          <w:rFonts w:eastAsia="Calibri"/>
          <w:b/>
        </w:rPr>
        <w:t>Ravimi tõendatud efektiivsus ja ohutus:</w:t>
      </w:r>
    </w:p>
    <w:p w14:paraId="620834FE" w14:textId="77777777" w:rsidR="00F337EC" w:rsidRPr="00F337EC" w:rsidRDefault="00DF3FF3" w:rsidP="00F337EC">
      <w:pPr>
        <w:spacing w:before="120" w:after="120" w:line="269" w:lineRule="auto"/>
        <w:jc w:val="both"/>
        <w:rPr>
          <w:rFonts w:ascii="Times New Roman" w:eastAsia="Calibri" w:hAnsi="Times New Roman" w:cs="Times New Roman"/>
          <w:lang w:eastAsia="et-EE"/>
        </w:rPr>
      </w:pPr>
      <w:r>
        <w:rPr>
          <w:rFonts w:ascii="Times New Roman" w:eastAsia="Calibri" w:hAnsi="Times New Roman" w:cs="Times New Roman"/>
          <w:lang w:eastAsia="et-EE"/>
        </w:rPr>
        <w:t>Praegu koostatakse</w:t>
      </w:r>
      <w:r w:rsidR="00F337EC" w:rsidRPr="00F337EC">
        <w:rPr>
          <w:rFonts w:ascii="Times New Roman" w:eastAsia="Calibri" w:hAnsi="Times New Roman" w:cs="Times New Roman"/>
          <w:lang w:eastAsia="et-EE"/>
        </w:rPr>
        <w:t xml:space="preserve"> KVA </w:t>
      </w:r>
      <w:r>
        <w:rPr>
          <w:rFonts w:ascii="Times New Roman" w:eastAsia="Calibri" w:hAnsi="Times New Roman" w:cs="Times New Roman"/>
          <w:lang w:eastAsia="et-EE"/>
        </w:rPr>
        <w:t>Eesti ravijuhendit.</w:t>
      </w:r>
      <w:r w:rsidRPr="00F337EC">
        <w:rPr>
          <w:rFonts w:ascii="Times New Roman" w:eastAsia="Calibri" w:hAnsi="Times New Roman" w:cs="Times New Roman"/>
          <w:lang w:eastAsia="et-EE"/>
        </w:rPr>
        <w:t xml:space="preserve"> </w:t>
      </w:r>
      <w:r w:rsidR="00F337EC" w:rsidRPr="00F337EC">
        <w:rPr>
          <w:rFonts w:ascii="Times New Roman" w:eastAsia="Calibri" w:hAnsi="Times New Roman" w:cs="Times New Roman"/>
          <w:lang w:eastAsia="et-EE"/>
        </w:rPr>
        <w:t xml:space="preserve">2018. a veebruari koosolekul arutleti antikoagulantravi, täpsemalt </w:t>
      </w:r>
      <w:r>
        <w:rPr>
          <w:rFonts w:ascii="Times New Roman" w:eastAsia="Calibri" w:hAnsi="Times New Roman" w:cs="Times New Roman"/>
          <w:lang w:eastAsia="et-EE"/>
        </w:rPr>
        <w:t>OSAK</w:t>
      </w:r>
      <w:r w:rsidR="00F337EC" w:rsidRPr="00F337EC">
        <w:rPr>
          <w:rFonts w:ascii="Times New Roman" w:eastAsia="Calibri" w:hAnsi="Times New Roman" w:cs="Times New Roman"/>
          <w:lang w:eastAsia="et-EE"/>
        </w:rPr>
        <w:t>-</w:t>
      </w:r>
      <w:r w:rsidR="003104AD">
        <w:rPr>
          <w:rFonts w:ascii="Times New Roman" w:eastAsia="Calibri" w:hAnsi="Times New Roman" w:cs="Times New Roman"/>
          <w:lang w:eastAsia="et-EE"/>
        </w:rPr>
        <w:t>d</w:t>
      </w:r>
      <w:r w:rsidR="00F337EC" w:rsidRPr="00F337EC">
        <w:rPr>
          <w:rFonts w:ascii="Times New Roman" w:eastAsia="Calibri" w:hAnsi="Times New Roman" w:cs="Times New Roman"/>
          <w:lang w:eastAsia="et-EE"/>
        </w:rPr>
        <w:t xml:space="preserve">e koha üle KVA raviskeemis ning otsustati anda nõrk positiivne soovitus </w:t>
      </w:r>
      <w:r>
        <w:rPr>
          <w:rFonts w:ascii="Times New Roman" w:eastAsia="Calibri" w:hAnsi="Times New Roman" w:cs="Times New Roman"/>
          <w:lang w:eastAsia="et-EE"/>
        </w:rPr>
        <w:t>OSAK</w:t>
      </w:r>
      <w:r w:rsidR="00F337EC" w:rsidRPr="00F337EC">
        <w:rPr>
          <w:rFonts w:ascii="Times New Roman" w:eastAsia="Calibri" w:hAnsi="Times New Roman" w:cs="Times New Roman"/>
          <w:lang w:eastAsia="et-EE"/>
        </w:rPr>
        <w:t>-</w:t>
      </w:r>
      <w:r w:rsidR="003104AD">
        <w:rPr>
          <w:rFonts w:ascii="Times New Roman" w:eastAsia="Calibri" w:hAnsi="Times New Roman" w:cs="Times New Roman"/>
          <w:lang w:eastAsia="et-EE"/>
        </w:rPr>
        <w:t>d</w:t>
      </w:r>
      <w:r w:rsidR="00F337EC" w:rsidRPr="00F337EC">
        <w:rPr>
          <w:rFonts w:ascii="Times New Roman" w:eastAsia="Calibri" w:hAnsi="Times New Roman" w:cs="Times New Roman"/>
          <w:lang w:eastAsia="et-EE"/>
        </w:rPr>
        <w:t xml:space="preserve">e määramiseks esmavalikuna KVA raviks. Põhjendustena toodi välja vastuvõetav kulutõhususe näitaja, </w:t>
      </w:r>
      <w:r>
        <w:rPr>
          <w:rFonts w:ascii="Times New Roman" w:eastAsia="Calibri" w:hAnsi="Times New Roman" w:cs="Times New Roman"/>
          <w:lang w:eastAsia="et-EE"/>
        </w:rPr>
        <w:t>OSAK</w:t>
      </w:r>
      <w:r w:rsidR="00F337EC" w:rsidRPr="00F337EC">
        <w:rPr>
          <w:rFonts w:ascii="Times New Roman" w:eastAsia="Calibri" w:hAnsi="Times New Roman" w:cs="Times New Roman"/>
          <w:lang w:eastAsia="et-EE"/>
        </w:rPr>
        <w:t>-</w:t>
      </w:r>
      <w:r w:rsidR="003104AD">
        <w:rPr>
          <w:rFonts w:ascii="Times New Roman" w:eastAsia="Calibri" w:hAnsi="Times New Roman" w:cs="Times New Roman"/>
          <w:lang w:eastAsia="et-EE"/>
        </w:rPr>
        <w:t>d</w:t>
      </w:r>
      <w:r w:rsidR="00F337EC" w:rsidRPr="00F337EC">
        <w:rPr>
          <w:rFonts w:ascii="Times New Roman" w:eastAsia="Calibri" w:hAnsi="Times New Roman" w:cs="Times New Roman"/>
          <w:lang w:eastAsia="et-EE"/>
        </w:rPr>
        <w:t xml:space="preserve">e parem ohutus </w:t>
      </w:r>
      <w:r w:rsidR="003104AD">
        <w:rPr>
          <w:rFonts w:ascii="Times New Roman" w:eastAsia="Calibri" w:hAnsi="Times New Roman" w:cs="Times New Roman"/>
          <w:lang w:eastAsia="et-EE"/>
        </w:rPr>
        <w:t>ja</w:t>
      </w:r>
      <w:r w:rsidR="00F337EC" w:rsidRPr="00F337EC">
        <w:rPr>
          <w:rFonts w:ascii="Times New Roman" w:eastAsia="Calibri" w:hAnsi="Times New Roman" w:cs="Times New Roman"/>
          <w:lang w:eastAsia="et-EE"/>
        </w:rPr>
        <w:t xml:space="preserve"> kasutamismugavus varfariiniga võrreldes</w:t>
      </w:r>
      <w:r w:rsidR="003104AD">
        <w:rPr>
          <w:rFonts w:ascii="Times New Roman" w:eastAsia="Calibri" w:hAnsi="Times New Roman" w:cs="Times New Roman"/>
          <w:lang w:eastAsia="et-EE"/>
        </w:rPr>
        <w:t>,</w:t>
      </w:r>
      <w:r w:rsidR="00F337EC" w:rsidRPr="00F337EC">
        <w:rPr>
          <w:rFonts w:ascii="Times New Roman" w:eastAsia="Calibri" w:hAnsi="Times New Roman" w:cs="Times New Roman"/>
          <w:lang w:eastAsia="et-EE"/>
        </w:rPr>
        <w:t xml:space="preserve"> samuti logistilised probleemid seoses sagedase INR-i määramise vajadusega varfariinravi puhul, eriti eakatel ja piiratud liikumisvõimega patsientidel.</w:t>
      </w:r>
      <w:r w:rsidR="003104AD">
        <w:rPr>
          <w:rFonts w:ascii="Times New Roman" w:eastAsia="Calibri" w:hAnsi="Times New Roman" w:cs="Times New Roman"/>
          <w:lang w:eastAsia="et-EE"/>
        </w:rPr>
        <w:t xml:space="preserve"> T</w:t>
      </w:r>
      <w:r w:rsidR="00F337EC" w:rsidRPr="00F337EC">
        <w:rPr>
          <w:rFonts w:ascii="Times New Roman" w:eastAsia="Calibri" w:hAnsi="Times New Roman" w:cs="Times New Roman"/>
          <w:lang w:eastAsia="et-EE"/>
        </w:rPr>
        <w:t xml:space="preserve">õdeti, et meditsiinivaldkonna vahendid pole küll ette nähtud sotsiaalsete probleemide kaudseks leevendamiseks (näiteks raskused õe vastuvõtule jõudmisel), kuid arvestatava ravitoime saavutamise huvides tuleb ka nendega arvestada. </w:t>
      </w:r>
    </w:p>
    <w:p w14:paraId="6FE5DA19" w14:textId="77777777" w:rsidR="00F337EC" w:rsidRPr="00F337EC" w:rsidRDefault="003E593C" w:rsidP="00F337EC">
      <w:pPr>
        <w:spacing w:before="120" w:after="120" w:line="269" w:lineRule="auto"/>
        <w:jc w:val="both"/>
        <w:rPr>
          <w:rFonts w:ascii="Times New Roman" w:eastAsia="Calibri" w:hAnsi="Times New Roman" w:cs="Times New Roman"/>
          <w:b/>
          <w:lang w:eastAsia="et-EE"/>
        </w:rPr>
      </w:pPr>
      <w:r w:rsidRPr="00074D9B">
        <w:rPr>
          <w:rFonts w:ascii="Times New Roman" w:eastAsia="Calibri" w:hAnsi="Times New Roman" w:cs="Times New Roman"/>
          <w:b/>
          <w:lang w:eastAsia="et-EE"/>
        </w:rPr>
        <w:t>Ravimi kasutamise majanduslik põhjendatus</w:t>
      </w:r>
      <w:r w:rsidR="00DB4046">
        <w:rPr>
          <w:rFonts w:ascii="Times New Roman" w:eastAsia="Calibri" w:hAnsi="Times New Roman" w:cs="Times New Roman"/>
          <w:b/>
          <w:lang w:eastAsia="et-EE"/>
        </w:rPr>
        <w:t xml:space="preserve"> ja mõju ravikindlustuse eelarvele</w:t>
      </w:r>
      <w:r w:rsidRPr="00074D9B">
        <w:rPr>
          <w:rFonts w:ascii="Times New Roman" w:eastAsia="Calibri" w:hAnsi="Times New Roman" w:cs="Times New Roman"/>
          <w:b/>
          <w:lang w:eastAsia="et-EE"/>
        </w:rPr>
        <w:t>:</w:t>
      </w:r>
    </w:p>
    <w:p w14:paraId="5FECEB83" w14:textId="77777777" w:rsidR="00F337EC" w:rsidRPr="00F337EC" w:rsidRDefault="00DF3FF3" w:rsidP="00F337EC">
      <w:pPr>
        <w:spacing w:before="120" w:after="120" w:line="269" w:lineRule="auto"/>
        <w:jc w:val="both"/>
        <w:rPr>
          <w:rFonts w:ascii="Times New Roman" w:eastAsia="Calibri" w:hAnsi="Times New Roman" w:cs="Times New Roman"/>
          <w:lang w:eastAsia="et-EE"/>
        </w:rPr>
      </w:pPr>
      <w:r>
        <w:rPr>
          <w:rFonts w:ascii="Times New Roman" w:eastAsia="Calibri" w:hAnsi="Times New Roman" w:cs="Times New Roman"/>
          <w:lang w:eastAsia="et-EE"/>
        </w:rPr>
        <w:t>OSAK</w:t>
      </w:r>
      <w:r w:rsidR="00F337EC" w:rsidRPr="00F337EC">
        <w:rPr>
          <w:rFonts w:ascii="Times New Roman" w:eastAsia="Calibri" w:hAnsi="Times New Roman" w:cs="Times New Roman"/>
          <w:lang w:eastAsia="et-EE"/>
        </w:rPr>
        <w:t>-</w:t>
      </w:r>
      <w:r w:rsidR="003104AD">
        <w:rPr>
          <w:rFonts w:ascii="Times New Roman" w:eastAsia="Calibri" w:hAnsi="Times New Roman" w:cs="Times New Roman"/>
          <w:lang w:eastAsia="et-EE"/>
        </w:rPr>
        <w:t>d</w:t>
      </w:r>
      <w:r w:rsidR="00F337EC" w:rsidRPr="00F337EC">
        <w:rPr>
          <w:rFonts w:ascii="Times New Roman" w:eastAsia="Calibri" w:hAnsi="Times New Roman" w:cs="Times New Roman"/>
          <w:lang w:eastAsia="et-EE"/>
        </w:rPr>
        <w:t xml:space="preserve">e soodustingimuste leevendamisel (I48, ilma täiendavate kitsendusteta) väheneks Eesti Haigekassa koostatud prognoosi kohaselt järgnevatel aastatel vähemalt kolmandiku võrra varfariini kasutajate osakaal (10-20% patsientidest esimesel aastal) ning samavõrra suureneks </w:t>
      </w:r>
      <w:r>
        <w:rPr>
          <w:rFonts w:ascii="Times New Roman" w:eastAsia="Calibri" w:hAnsi="Times New Roman" w:cs="Times New Roman"/>
          <w:lang w:eastAsia="et-EE"/>
        </w:rPr>
        <w:t>OSAK</w:t>
      </w:r>
      <w:r w:rsidR="00F337EC" w:rsidRPr="00F337EC">
        <w:rPr>
          <w:rFonts w:ascii="Times New Roman" w:eastAsia="Calibri" w:hAnsi="Times New Roman" w:cs="Times New Roman"/>
          <w:lang w:eastAsia="et-EE"/>
        </w:rPr>
        <w:t>-</w:t>
      </w:r>
      <w:r w:rsidR="003104AD">
        <w:rPr>
          <w:rFonts w:ascii="Times New Roman" w:eastAsia="Calibri" w:hAnsi="Times New Roman" w:cs="Times New Roman"/>
          <w:lang w:eastAsia="et-EE"/>
        </w:rPr>
        <w:t>d</w:t>
      </w:r>
      <w:r w:rsidR="00F337EC" w:rsidRPr="00F337EC">
        <w:rPr>
          <w:rFonts w:ascii="Times New Roman" w:eastAsia="Calibri" w:hAnsi="Times New Roman" w:cs="Times New Roman"/>
          <w:lang w:eastAsia="et-EE"/>
        </w:rPr>
        <w:t xml:space="preserve">e kasutajate osakaal (80-90% patsientidest esimesel aastal). </w:t>
      </w:r>
      <w:r>
        <w:rPr>
          <w:rFonts w:ascii="Times New Roman" w:eastAsia="Calibri" w:hAnsi="Times New Roman" w:cs="Times New Roman"/>
          <w:lang w:eastAsia="et-EE"/>
        </w:rPr>
        <w:t>K</w:t>
      </w:r>
      <w:r w:rsidR="00F337EC" w:rsidRPr="00F337EC">
        <w:rPr>
          <w:rFonts w:ascii="Times New Roman" w:eastAsia="Calibri" w:hAnsi="Times New Roman" w:cs="Times New Roman"/>
          <w:lang w:eastAsia="et-EE"/>
        </w:rPr>
        <w:t>ohene ning automaatne lisakulu tekiks 50% soodusmäära muutumisest 90%-ks (mittepensionäridel 75%).</w:t>
      </w:r>
    </w:p>
    <w:p w14:paraId="1F13F94D" w14:textId="77777777" w:rsidR="00F337EC" w:rsidRDefault="00F337EC" w:rsidP="00F337EC">
      <w:pPr>
        <w:pStyle w:val="Normaallaadveeb"/>
        <w:kinsoku w:val="0"/>
        <w:overflowPunct w:val="0"/>
        <w:spacing w:before="120" w:beforeAutospacing="0" w:after="120" w:afterAutospacing="0" w:line="269" w:lineRule="auto"/>
        <w:jc w:val="both"/>
        <w:textAlignment w:val="baseline"/>
        <w:rPr>
          <w:rFonts w:eastAsia="Calibri"/>
          <w:sz w:val="22"/>
          <w:szCs w:val="22"/>
        </w:rPr>
      </w:pPr>
      <w:r w:rsidRPr="00F337EC">
        <w:rPr>
          <w:rFonts w:eastAsia="Calibri"/>
          <w:sz w:val="22"/>
          <w:szCs w:val="22"/>
        </w:rPr>
        <w:lastRenderedPageBreak/>
        <w:t xml:space="preserve">Tagasihoidlikuma stsenaariumi kohaselt, kui tingimuste muutusest tulenevat üleminekut varfariinravilt </w:t>
      </w:r>
      <w:r w:rsidR="00DF3FF3">
        <w:rPr>
          <w:rFonts w:eastAsia="Calibri"/>
          <w:sz w:val="22"/>
          <w:szCs w:val="22"/>
        </w:rPr>
        <w:t>OSAK</w:t>
      </w:r>
      <w:r w:rsidRPr="00F337EC">
        <w:rPr>
          <w:rFonts w:eastAsia="Calibri"/>
          <w:sz w:val="22"/>
          <w:szCs w:val="22"/>
        </w:rPr>
        <w:t>-</w:t>
      </w:r>
      <w:r w:rsidR="00DB4046">
        <w:rPr>
          <w:rFonts w:eastAsia="Calibri"/>
          <w:sz w:val="22"/>
          <w:szCs w:val="22"/>
        </w:rPr>
        <w:t>d</w:t>
      </w:r>
      <w:r w:rsidRPr="00F337EC">
        <w:rPr>
          <w:rFonts w:eastAsia="Calibri"/>
          <w:sz w:val="22"/>
          <w:szCs w:val="22"/>
        </w:rPr>
        <w:t>ele hinnata sujuvamaks, võib muudatusest eeldada lisakulu 7 447 026 eurot esimese raviaasta kohta. Selline lisakulu on samas suurusjärgus iga-aastase ravimite kompenseerimiseks ettenähtava eelarve kogukasvuga, mis tähendab, et peale kõnealust väljakirjutamise tingimuste muudatust ei oleks võimalik muid lisakulu nõudvaid kompenseerimisotsuseid teha. Seega tekkiva lisakulu minimeerimisel võib eelkirjeldatud muudatust põhjendatuks pidada.</w:t>
      </w:r>
    </w:p>
    <w:p w14:paraId="5C4FCA59" w14:textId="77777777" w:rsidR="009C7D04" w:rsidRPr="00F337EC" w:rsidRDefault="009C7D04" w:rsidP="00F337EC">
      <w:pPr>
        <w:pStyle w:val="Normaallaadveeb"/>
        <w:kinsoku w:val="0"/>
        <w:overflowPunct w:val="0"/>
        <w:spacing w:before="120" w:beforeAutospacing="0" w:after="120" w:afterAutospacing="0" w:line="269" w:lineRule="auto"/>
        <w:jc w:val="both"/>
        <w:textAlignment w:val="baseline"/>
        <w:rPr>
          <w:rFonts w:eastAsia="Calibri"/>
          <w:sz w:val="22"/>
          <w:szCs w:val="22"/>
        </w:rPr>
      </w:pPr>
      <w:r>
        <w:rPr>
          <w:rFonts w:eastAsia="Calibri"/>
          <w:sz w:val="22"/>
          <w:szCs w:val="22"/>
        </w:rPr>
        <w:t xml:space="preserve">Lähtudes eeltoodust teeb haigekassa ettepaneku leevendada nende hüvitatavate </w:t>
      </w:r>
      <w:r w:rsidR="00DF3FF3">
        <w:rPr>
          <w:rFonts w:eastAsia="Calibri"/>
          <w:sz w:val="22"/>
          <w:szCs w:val="22"/>
        </w:rPr>
        <w:t>OSAK</w:t>
      </w:r>
      <w:r>
        <w:rPr>
          <w:rFonts w:eastAsia="Calibri"/>
          <w:sz w:val="22"/>
          <w:szCs w:val="22"/>
        </w:rPr>
        <w:t>-de väljakirjutamise tingimusi, mille tootjad nõustuvad taandama tekkiva lisakulu kas täiendava allahindluse ja/või muude mehhanismide näol</w:t>
      </w:r>
      <w:r w:rsidR="002379F8">
        <w:rPr>
          <w:rFonts w:eastAsia="Calibri"/>
          <w:sz w:val="22"/>
          <w:szCs w:val="22"/>
        </w:rPr>
        <w:t xml:space="preserve"> ning arutada, mida teha teiste hüvitatavate </w:t>
      </w:r>
      <w:r w:rsidR="00DF3FF3">
        <w:rPr>
          <w:rFonts w:eastAsia="Calibri"/>
          <w:sz w:val="22"/>
          <w:szCs w:val="22"/>
        </w:rPr>
        <w:t>OSAK</w:t>
      </w:r>
      <w:r w:rsidR="002379F8">
        <w:rPr>
          <w:rFonts w:eastAsia="Calibri"/>
          <w:sz w:val="22"/>
          <w:szCs w:val="22"/>
        </w:rPr>
        <w:t xml:space="preserve">-de väljakirjutamispiirangutega. </w:t>
      </w:r>
    </w:p>
    <w:p w14:paraId="7C12AE31" w14:textId="77777777" w:rsidR="00600822" w:rsidRDefault="00EB52D0" w:rsidP="006D066C">
      <w:pPr>
        <w:pStyle w:val="Normaallaadveeb"/>
        <w:kinsoku w:val="0"/>
        <w:overflowPunct w:val="0"/>
        <w:spacing w:before="120" w:beforeAutospacing="0" w:after="120" w:afterAutospacing="0" w:line="269" w:lineRule="auto"/>
        <w:jc w:val="both"/>
        <w:textAlignment w:val="baseline"/>
        <w:rPr>
          <w:rFonts w:eastAsiaTheme="minorEastAsia"/>
          <w:b/>
          <w:color w:val="000000" w:themeColor="text1"/>
          <w:sz w:val="22"/>
          <w:szCs w:val="22"/>
        </w:rPr>
      </w:pPr>
      <w:r w:rsidRPr="00EB52D0">
        <w:rPr>
          <w:rFonts w:eastAsiaTheme="minorEastAsia"/>
          <w:b/>
          <w:color w:val="000000" w:themeColor="text1"/>
          <w:sz w:val="22"/>
          <w:szCs w:val="22"/>
        </w:rPr>
        <w:t>Diskussioon</w:t>
      </w:r>
    </w:p>
    <w:p w14:paraId="73B18349" w14:textId="77777777" w:rsidR="000B6258" w:rsidRPr="000B6258" w:rsidRDefault="000B6258" w:rsidP="000B6258">
      <w:pPr>
        <w:spacing w:before="120" w:after="120" w:line="269" w:lineRule="auto"/>
        <w:jc w:val="both"/>
        <w:rPr>
          <w:rFonts w:ascii="Times New Roman" w:hAnsi="Times New Roman" w:cs="Times New Roman"/>
        </w:rPr>
      </w:pPr>
      <w:r w:rsidRPr="000B6258">
        <w:rPr>
          <w:rFonts w:ascii="Times New Roman" w:hAnsi="Times New Roman" w:cs="Times New Roman"/>
        </w:rPr>
        <w:t xml:space="preserve">Komisjon arutles </w:t>
      </w:r>
      <w:r w:rsidR="00DF3FF3">
        <w:rPr>
          <w:rFonts w:ascii="Times New Roman" w:hAnsi="Times New Roman" w:cs="Times New Roman"/>
        </w:rPr>
        <w:t>praeguse</w:t>
      </w:r>
      <w:r w:rsidR="00DF3FF3" w:rsidRPr="000B6258">
        <w:rPr>
          <w:rFonts w:ascii="Times New Roman" w:hAnsi="Times New Roman" w:cs="Times New Roman"/>
        </w:rPr>
        <w:t xml:space="preserve"> </w:t>
      </w:r>
      <w:r w:rsidRPr="000B6258">
        <w:rPr>
          <w:rFonts w:ascii="Times New Roman" w:hAnsi="Times New Roman" w:cs="Times New Roman"/>
        </w:rPr>
        <w:t xml:space="preserve">olukorra ja muudatuse vajalikkuse üle. </w:t>
      </w:r>
      <w:r w:rsidR="00DF3FF3">
        <w:rPr>
          <w:rFonts w:ascii="Times New Roman" w:hAnsi="Times New Roman" w:cs="Times New Roman"/>
        </w:rPr>
        <w:t>Otsese toimega</w:t>
      </w:r>
      <w:r w:rsidR="00DF3FF3" w:rsidRPr="000B6258">
        <w:rPr>
          <w:rFonts w:ascii="Times New Roman" w:hAnsi="Times New Roman" w:cs="Times New Roman"/>
        </w:rPr>
        <w:t xml:space="preserve"> </w:t>
      </w:r>
      <w:r w:rsidRPr="000B6258">
        <w:rPr>
          <w:rFonts w:ascii="Times New Roman" w:hAnsi="Times New Roman" w:cs="Times New Roman"/>
        </w:rPr>
        <w:t xml:space="preserve">suukaudsete antikoagulantide kasutamine on saanud paljudes riikides standardraviks esmavalikus, peamine raskuskoht nende kasutamise juures on kulukus nii ravikindlustusele kui patsiendile. Eestis kehtivate väljakirjutamistingimuste kohaselt on 75%/90% soodusmääraga </w:t>
      </w:r>
      <w:r w:rsidR="00DF3FF3">
        <w:rPr>
          <w:rFonts w:ascii="Times New Roman" w:hAnsi="Times New Roman" w:cs="Times New Roman"/>
        </w:rPr>
        <w:t>OSAK</w:t>
      </w:r>
      <w:r w:rsidRPr="000B6258">
        <w:rPr>
          <w:rFonts w:ascii="Times New Roman" w:hAnsi="Times New Roman" w:cs="Times New Roman"/>
        </w:rPr>
        <w:t>-d kompenseeritud patsientidele, kelle puhul on alustatud ravi varfariiniga, ent see on osutunud meditsiiniliselt sobimatuks, mis on vastavalt dokumenteeritud. Komisjon tõi välja peamised probleemkohad varfariinravi korral</w:t>
      </w:r>
      <w:r w:rsidR="00DF3FF3">
        <w:rPr>
          <w:rFonts w:ascii="Times New Roman" w:hAnsi="Times New Roman" w:cs="Times New Roman"/>
        </w:rPr>
        <w:t xml:space="preserve">: ravi vajab regulaarset arstikülastust või kodust INR määramist, ravi efektiivsus sõltub eesmärk-INR saavutamisest, mis omakorda sõltub toitumisest ning teistest ravimitest. Mõnel patsiendil ei olegi stabiilne INR saavutatav. Eesmärk-INR mitte saavutavatel patsientidel on nii trombemboolia kui verejooksu risk kõrgem. </w:t>
      </w:r>
      <w:r w:rsidRPr="000B6258">
        <w:rPr>
          <w:rFonts w:ascii="Times New Roman" w:hAnsi="Times New Roman" w:cs="Times New Roman"/>
        </w:rPr>
        <w:t xml:space="preserve">Rõhutati, et varfariin on efektiivne, hea ja odav ravim koostööalti ja mentaalselt võimeka patsiendi raviks. On </w:t>
      </w:r>
      <w:r w:rsidR="00DF3FF3">
        <w:rPr>
          <w:rFonts w:ascii="Times New Roman" w:hAnsi="Times New Roman" w:cs="Times New Roman"/>
        </w:rPr>
        <w:t>väga</w:t>
      </w:r>
      <w:r w:rsidR="00DF3FF3" w:rsidRPr="000B6258">
        <w:rPr>
          <w:rFonts w:ascii="Times New Roman" w:hAnsi="Times New Roman" w:cs="Times New Roman"/>
        </w:rPr>
        <w:t xml:space="preserve"> </w:t>
      </w:r>
      <w:r w:rsidRPr="000B6258">
        <w:rPr>
          <w:rFonts w:ascii="Times New Roman" w:hAnsi="Times New Roman" w:cs="Times New Roman"/>
        </w:rPr>
        <w:t xml:space="preserve">tähtis, et patsient saab aru kohati keerukast annustamisskeemist ja teab ning tunneb ohumärke, millega kiiresti arsti poole pöörduda tuleb. </w:t>
      </w:r>
    </w:p>
    <w:p w14:paraId="7C068086" w14:textId="77777777" w:rsidR="000B6258" w:rsidRDefault="000B6258" w:rsidP="000B6258">
      <w:pPr>
        <w:spacing w:before="120" w:after="120" w:line="269" w:lineRule="auto"/>
        <w:jc w:val="both"/>
        <w:rPr>
          <w:rFonts w:ascii="Times New Roman" w:hAnsi="Times New Roman" w:cs="Times New Roman"/>
        </w:rPr>
      </w:pPr>
      <w:r w:rsidRPr="000B6258">
        <w:rPr>
          <w:rFonts w:ascii="Times New Roman" w:hAnsi="Times New Roman" w:cs="Times New Roman"/>
        </w:rPr>
        <w:t xml:space="preserve">Kuna Eestis ei ole välja arendatud tugisüsteeme, mis tagaksid varfariinravi rutiinse jälgimise ja INR mõõtmise õepõhise jälgimissüsteemi abil nagu mujal maailmas, siis on paratamatu, et üha enam patsiente hakkab kasutama </w:t>
      </w:r>
      <w:r w:rsidR="00DF3FF3">
        <w:rPr>
          <w:rFonts w:ascii="Times New Roman" w:hAnsi="Times New Roman" w:cs="Times New Roman"/>
        </w:rPr>
        <w:t>OSAK</w:t>
      </w:r>
      <w:r w:rsidRPr="000B6258">
        <w:rPr>
          <w:rFonts w:ascii="Times New Roman" w:hAnsi="Times New Roman" w:cs="Times New Roman"/>
        </w:rPr>
        <w:t xml:space="preserve">-e. Varfariini kasutuse vähenemine kajastub ka statistikas ning komisjon nendib, et on oluline leida lahendus, kuidas võimalikult väikese eelarvemõjuga teha üleminek </w:t>
      </w:r>
      <w:r w:rsidR="005D53FA">
        <w:rPr>
          <w:rFonts w:ascii="Times New Roman" w:hAnsi="Times New Roman" w:cs="Times New Roman"/>
        </w:rPr>
        <w:t>otsese toimega</w:t>
      </w:r>
      <w:r w:rsidR="005D53FA" w:rsidRPr="000B6258">
        <w:rPr>
          <w:rFonts w:ascii="Times New Roman" w:hAnsi="Times New Roman" w:cs="Times New Roman"/>
        </w:rPr>
        <w:t xml:space="preserve"> </w:t>
      </w:r>
      <w:r w:rsidRPr="000B6258">
        <w:rPr>
          <w:rFonts w:ascii="Times New Roman" w:hAnsi="Times New Roman" w:cs="Times New Roman"/>
        </w:rPr>
        <w:t xml:space="preserve">suukaudsetele antikoagulantidele, tagades patsientide võrdse kohtlemise ja ravimite kättesaadavuse. </w:t>
      </w:r>
    </w:p>
    <w:p w14:paraId="207DA25F" w14:textId="77777777" w:rsidR="00C006C9" w:rsidRPr="000B6258" w:rsidRDefault="00C006C9" w:rsidP="000B6258">
      <w:pPr>
        <w:spacing w:before="120" w:after="120" w:line="269" w:lineRule="auto"/>
        <w:jc w:val="both"/>
        <w:rPr>
          <w:rFonts w:ascii="Times New Roman" w:hAnsi="Times New Roman" w:cs="Times New Roman"/>
        </w:rPr>
      </w:pPr>
      <w:r>
        <w:rPr>
          <w:rFonts w:ascii="Times New Roman" w:hAnsi="Times New Roman" w:cs="Times New Roman"/>
        </w:rPr>
        <w:t>Komisjon arutles, kuidas minimeerida märkimisväärset eelarvemõju. Leiti, et tuleb pöörduda ravimitootjate poole ettepanekuga langetada ravimite hinda</w:t>
      </w:r>
      <w:r w:rsidR="005D53FA">
        <w:rPr>
          <w:rFonts w:ascii="Times New Roman" w:hAnsi="Times New Roman" w:cs="Times New Roman"/>
        </w:rPr>
        <w:t>,</w:t>
      </w:r>
      <w:r>
        <w:rPr>
          <w:rFonts w:ascii="Times New Roman" w:hAnsi="Times New Roman" w:cs="Times New Roman"/>
        </w:rPr>
        <w:t xml:space="preserve"> kaotamaks kehtivad väljakirjutamispiirangud. Juhul, kui kõik tootjad ei ole valmis läbirääkimisi pidama, nõustub komisjon, et ravimitel, millega õnnestub saavutada vajalik hinnalangus, kaotatakse kehtiv piirang ning teistel mitte. Leiti, et on asjakohane kaaluda hinda mitte langetavatele ravimitele tänasest kitsama</w:t>
      </w:r>
      <w:r w:rsidR="005D53FA">
        <w:rPr>
          <w:rFonts w:ascii="Times New Roman" w:hAnsi="Times New Roman" w:cs="Times New Roman"/>
        </w:rPr>
        <w:t xml:space="preserve">te piirangute kehtestamist, nt et </w:t>
      </w:r>
      <w:r>
        <w:rPr>
          <w:rFonts w:ascii="Times New Roman" w:hAnsi="Times New Roman" w:cs="Times New Roman"/>
        </w:rPr>
        <w:t xml:space="preserve">lisaks varfariinile tuleb enne proovida ravi ka soodsaima </w:t>
      </w:r>
      <w:r w:rsidR="005D53FA">
        <w:rPr>
          <w:rFonts w:ascii="Times New Roman" w:hAnsi="Times New Roman" w:cs="Times New Roman"/>
        </w:rPr>
        <w:t>OSAK</w:t>
      </w:r>
      <w:r>
        <w:rPr>
          <w:rFonts w:ascii="Times New Roman" w:hAnsi="Times New Roman" w:cs="Times New Roman"/>
        </w:rPr>
        <w:t xml:space="preserve">-ga. </w:t>
      </w:r>
    </w:p>
    <w:p w14:paraId="0ECADC93" w14:textId="77777777" w:rsidR="0082411B" w:rsidRDefault="0082411B" w:rsidP="0082411B">
      <w:pPr>
        <w:spacing w:before="120" w:after="120" w:line="269" w:lineRule="auto"/>
        <w:jc w:val="both"/>
        <w:rPr>
          <w:rFonts w:ascii="Times New Roman" w:eastAsia="Times New Roman" w:hAnsi="Times New Roman" w:cs="Times New Roman"/>
          <w:lang w:eastAsia="et-EE"/>
        </w:rPr>
      </w:pPr>
      <w:r w:rsidRPr="00400318">
        <w:rPr>
          <w:rFonts w:ascii="Times New Roman" w:eastAsia="Times New Roman" w:hAnsi="Times New Roman" w:cs="Times New Roman"/>
          <w:b/>
          <w:u w:val="single"/>
        </w:rPr>
        <w:t>Komisjoni arvamus (ühehäälne)</w:t>
      </w:r>
    </w:p>
    <w:p w14:paraId="177CA083" w14:textId="77777777" w:rsidR="006D047D" w:rsidRDefault="00C13D3A" w:rsidP="00773D40">
      <w:pPr>
        <w:jc w:val="both"/>
        <w:rPr>
          <w:rFonts w:ascii="Times New Roman" w:eastAsia="Times New Roman" w:hAnsi="Times New Roman" w:cs="Times New Roman"/>
        </w:rPr>
      </w:pPr>
      <w:r>
        <w:rPr>
          <w:rFonts w:ascii="Times New Roman" w:eastAsia="Times New Roman" w:hAnsi="Times New Roman" w:cs="Times New Roman"/>
        </w:rPr>
        <w:t xml:space="preserve">Komisjon </w:t>
      </w:r>
      <w:r w:rsidR="005D53FA">
        <w:rPr>
          <w:rFonts w:ascii="Times New Roman" w:eastAsia="Times New Roman" w:hAnsi="Times New Roman" w:cs="Times New Roman"/>
        </w:rPr>
        <w:t xml:space="preserve">soovitab </w:t>
      </w:r>
      <w:r>
        <w:rPr>
          <w:rFonts w:ascii="Times New Roman" w:eastAsia="Times New Roman" w:hAnsi="Times New Roman" w:cs="Times New Roman"/>
        </w:rPr>
        <w:t>haigekassa</w:t>
      </w:r>
      <w:r w:rsidR="005D53FA">
        <w:rPr>
          <w:rFonts w:ascii="Times New Roman" w:eastAsia="Times New Roman" w:hAnsi="Times New Roman" w:cs="Times New Roman"/>
        </w:rPr>
        <w:t>l</w:t>
      </w:r>
      <w:r>
        <w:rPr>
          <w:rFonts w:ascii="Times New Roman" w:eastAsia="Times New Roman" w:hAnsi="Times New Roman" w:cs="Times New Roman"/>
        </w:rPr>
        <w:t xml:space="preserve"> pida</w:t>
      </w:r>
      <w:r w:rsidR="005D53FA">
        <w:rPr>
          <w:rFonts w:ascii="Times New Roman" w:eastAsia="Times New Roman" w:hAnsi="Times New Roman" w:cs="Times New Roman"/>
        </w:rPr>
        <w:t>d</w:t>
      </w:r>
      <w:r>
        <w:rPr>
          <w:rFonts w:ascii="Times New Roman" w:eastAsia="Times New Roman" w:hAnsi="Times New Roman" w:cs="Times New Roman"/>
        </w:rPr>
        <w:t xml:space="preserve">a ravimitootjatega läbirääkimisi </w:t>
      </w:r>
      <w:r w:rsidR="003C3125">
        <w:rPr>
          <w:rFonts w:ascii="Times New Roman" w:eastAsia="Times New Roman" w:hAnsi="Times New Roman" w:cs="Times New Roman"/>
        </w:rPr>
        <w:t xml:space="preserve">eelarvemõjude minimeerimiseks, kaotamaks </w:t>
      </w:r>
      <w:r w:rsidR="005D53FA">
        <w:rPr>
          <w:rFonts w:ascii="Times New Roman" w:eastAsia="Times New Roman" w:hAnsi="Times New Roman" w:cs="Times New Roman"/>
        </w:rPr>
        <w:t>OSAK</w:t>
      </w:r>
      <w:r w:rsidR="003C3125">
        <w:rPr>
          <w:rFonts w:ascii="Times New Roman" w:eastAsia="Times New Roman" w:hAnsi="Times New Roman" w:cs="Times New Roman"/>
        </w:rPr>
        <w:t xml:space="preserve">-de väljakirjutamispiirangud. Arutada komisjonis uuesti, kui kõikide tootjatega on kohtumised peetud. </w:t>
      </w:r>
      <w:r w:rsidR="00C64B13">
        <w:rPr>
          <w:rFonts w:ascii="Times New Roman" w:eastAsia="Times New Roman" w:hAnsi="Times New Roman" w:cs="Times New Roman"/>
        </w:rPr>
        <w:t xml:space="preserve"> </w:t>
      </w:r>
    </w:p>
    <w:p w14:paraId="23268268" w14:textId="77777777" w:rsidR="005A5D55" w:rsidRDefault="005A5D55" w:rsidP="001B4EF1"/>
    <w:p w14:paraId="176587D5" w14:textId="77777777" w:rsidR="00DA3791" w:rsidRDefault="00DA3791" w:rsidP="00DA3791">
      <w:pPr>
        <w:spacing w:after="0" w:line="240" w:lineRule="auto"/>
        <w:jc w:val="both"/>
        <w:rPr>
          <w:rFonts w:ascii="Times New Roman" w:eastAsia="Times New Roman" w:hAnsi="Times New Roman" w:cs="Times New Roman"/>
          <w:b/>
          <w:bCs/>
          <w:caps/>
          <w:color w:val="FFFFFF"/>
          <w:spacing w:val="15"/>
        </w:rPr>
      </w:pPr>
    </w:p>
    <w:p w14:paraId="2D18A4C3"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25759107"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2A497842"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5F975716"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4BF4E266"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0C9E431E"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2E818421"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39B6C29A"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335454E7"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4549FC48" w14:textId="77777777" w:rsidR="003236EE" w:rsidRDefault="003236EE" w:rsidP="00DA3791">
      <w:pPr>
        <w:spacing w:after="0" w:line="240" w:lineRule="auto"/>
        <w:jc w:val="both"/>
        <w:rPr>
          <w:rFonts w:ascii="Times New Roman" w:eastAsia="Times New Roman" w:hAnsi="Times New Roman" w:cs="Times New Roman"/>
          <w:b/>
          <w:bCs/>
          <w:caps/>
          <w:color w:val="FFFFFF"/>
          <w:spacing w:val="15"/>
        </w:rPr>
      </w:pPr>
    </w:p>
    <w:p w14:paraId="4260323E" w14:textId="77777777" w:rsidR="00DA3791" w:rsidRPr="00DA3791" w:rsidRDefault="00DA3791" w:rsidP="00DA3791">
      <w:pPr>
        <w:spacing w:after="0" w:line="240" w:lineRule="auto"/>
        <w:jc w:val="both"/>
        <w:rPr>
          <w:rFonts w:ascii="Times New Roman" w:hAnsi="Times New Roman" w:cs="Times New Roman"/>
        </w:rPr>
      </w:pPr>
      <w:r w:rsidRPr="00DA3791">
        <w:rPr>
          <w:rFonts w:ascii="Times New Roman" w:eastAsia="Times New Roman" w:hAnsi="Times New Roman" w:cs="Times New Roman"/>
        </w:rPr>
        <w:t xml:space="preserve">Alar Irs                                                                                                               </w:t>
      </w:r>
      <w:r w:rsidR="00955C7A">
        <w:rPr>
          <w:rFonts w:ascii="Times New Roman" w:eastAsia="Times New Roman" w:hAnsi="Times New Roman" w:cs="Times New Roman"/>
        </w:rPr>
        <w:t xml:space="preserve"> Getter Hark</w:t>
      </w:r>
    </w:p>
    <w:p w14:paraId="7F74576D" w14:textId="77777777" w:rsidR="00DA3791" w:rsidRPr="00DA3791" w:rsidRDefault="00DA3791" w:rsidP="00DA3791">
      <w:pPr>
        <w:spacing w:after="0" w:line="240" w:lineRule="auto"/>
        <w:ind w:right="-426"/>
        <w:jc w:val="both"/>
        <w:rPr>
          <w:rFonts w:ascii="Times New Roman" w:eastAsia="Calibri" w:hAnsi="Times New Roman" w:cs="Times New Roman"/>
          <w:lang w:eastAsia="et-EE"/>
        </w:rPr>
      </w:pPr>
      <w:r w:rsidRPr="00DA3791">
        <w:rPr>
          <w:rFonts w:ascii="Times New Roman" w:eastAsia="Times New Roman" w:hAnsi="Times New Roman" w:cs="Times New Roman"/>
        </w:rPr>
        <w:t xml:space="preserve">Juhataja                                                                                                             </w:t>
      </w:r>
      <w:r w:rsidR="00955C7A">
        <w:rPr>
          <w:rFonts w:ascii="Times New Roman" w:eastAsia="Times New Roman" w:hAnsi="Times New Roman" w:cs="Times New Roman"/>
        </w:rPr>
        <w:t xml:space="preserve"> </w:t>
      </w:r>
      <w:r w:rsidRPr="00DA3791">
        <w:rPr>
          <w:rFonts w:ascii="Times New Roman" w:eastAsia="Times New Roman" w:hAnsi="Times New Roman" w:cs="Times New Roman"/>
        </w:rPr>
        <w:t xml:space="preserve"> Protokollija</w:t>
      </w:r>
    </w:p>
    <w:p w14:paraId="2D4AE7CF" w14:textId="77777777" w:rsidR="00273E17" w:rsidRPr="00273E17" w:rsidRDefault="00DA3791" w:rsidP="00DA3791">
      <w:pPr>
        <w:spacing w:after="0" w:line="240" w:lineRule="auto"/>
        <w:ind w:right="277"/>
        <w:contextualSpacing/>
        <w:jc w:val="both"/>
        <w:rPr>
          <w:rFonts w:ascii="Times New Roman" w:eastAsia="Times New Roman" w:hAnsi="Times New Roman" w:cs="Times New Roman"/>
        </w:rPr>
      </w:pPr>
      <w:r w:rsidRPr="00DA3791">
        <w:rPr>
          <w:rFonts w:ascii="Times New Roman" w:eastAsia="Times New Roman" w:hAnsi="Times New Roman" w:cs="Times New Roman"/>
          <w:b/>
          <w:bCs/>
          <w:caps/>
          <w:color w:val="FFFFFF"/>
          <w:spacing w:val="15"/>
        </w:rPr>
        <w:t>fluridiin + tipiratsiil diin + tipiratsiil</w:t>
      </w:r>
    </w:p>
    <w:sectPr w:rsidR="00273E17" w:rsidRPr="00273E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6D87" w14:textId="77777777" w:rsidR="00196445" w:rsidRDefault="00196445" w:rsidP="001B4EF1">
      <w:pPr>
        <w:spacing w:after="0" w:line="240" w:lineRule="auto"/>
      </w:pPr>
      <w:r>
        <w:separator/>
      </w:r>
    </w:p>
  </w:endnote>
  <w:endnote w:type="continuationSeparator" w:id="0">
    <w:p w14:paraId="0B4F000A" w14:textId="77777777" w:rsidR="00196445" w:rsidRDefault="00196445" w:rsidP="001B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21467"/>
      <w:docPartObj>
        <w:docPartGallery w:val="Page Numbers (Bottom of Page)"/>
        <w:docPartUnique/>
      </w:docPartObj>
    </w:sdtPr>
    <w:sdtEndPr/>
    <w:sdtContent>
      <w:p w14:paraId="3FAFE0E3" w14:textId="593E6244" w:rsidR="00796CFC" w:rsidRDefault="00796CFC">
        <w:pPr>
          <w:pStyle w:val="Jalus"/>
          <w:jc w:val="center"/>
        </w:pPr>
        <w:r>
          <w:fldChar w:fldCharType="begin"/>
        </w:r>
        <w:r>
          <w:instrText>PAGE   \* MERGEFORMAT</w:instrText>
        </w:r>
        <w:r>
          <w:fldChar w:fldCharType="separate"/>
        </w:r>
        <w:r w:rsidR="000C5CD7">
          <w:rPr>
            <w:noProof/>
          </w:rPr>
          <w:t>1</w:t>
        </w:r>
        <w:r>
          <w:fldChar w:fldCharType="end"/>
        </w:r>
      </w:p>
    </w:sdtContent>
  </w:sdt>
  <w:p w14:paraId="59533383" w14:textId="77777777" w:rsidR="00796CFC" w:rsidRDefault="00796CF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BAAF" w14:textId="77777777" w:rsidR="00196445" w:rsidRDefault="00196445" w:rsidP="001B4EF1">
      <w:pPr>
        <w:spacing w:after="0" w:line="240" w:lineRule="auto"/>
      </w:pPr>
      <w:r>
        <w:separator/>
      </w:r>
    </w:p>
  </w:footnote>
  <w:footnote w:type="continuationSeparator" w:id="0">
    <w:p w14:paraId="023C3538" w14:textId="77777777" w:rsidR="00196445" w:rsidRDefault="00196445" w:rsidP="001B4EF1">
      <w:pPr>
        <w:spacing w:after="0" w:line="240" w:lineRule="auto"/>
      </w:pPr>
      <w:r>
        <w:continuationSeparator/>
      </w:r>
    </w:p>
  </w:footnote>
  <w:footnote w:id="1">
    <w:p w14:paraId="44D745ED" w14:textId="77777777" w:rsidR="00EF4360" w:rsidRDefault="00EF4360">
      <w:pPr>
        <w:pStyle w:val="Allmrkusetekst"/>
      </w:pPr>
      <w:r>
        <w:rPr>
          <w:rStyle w:val="Allmrkuseviide"/>
        </w:rPr>
        <w:footnoteRef/>
      </w:r>
      <w:r>
        <w:t xml:space="preserve"> </w:t>
      </w:r>
      <w:r w:rsidRPr="00693876">
        <w:rPr>
          <w:rFonts w:ascii="Times New Roman" w:eastAsiaTheme="minorEastAsia" w:hAnsi="Times New Roman" w:cs="Times New Roman"/>
          <w:i/>
          <w:iCs/>
          <w:lang w:eastAsia="et-EE"/>
        </w:rPr>
        <w:t>Annals of Oncology 28: 16–33, 2017 doi:10.1093/annonc/mdw544</w:t>
      </w:r>
      <w:r>
        <w:rPr>
          <w:rFonts w:ascii="Times New Roman" w:eastAsiaTheme="minorEastAsia" w:hAnsi="Times New Roman" w:cs="Times New Roman"/>
          <w:i/>
          <w:iCs/>
          <w:lang w:eastAsia="et-EE"/>
        </w:rPr>
        <w:t xml:space="preserve"> </w:t>
      </w:r>
    </w:p>
  </w:footnote>
  <w:footnote w:id="2">
    <w:p w14:paraId="11A2693F" w14:textId="77777777" w:rsidR="005D4A83" w:rsidRDefault="005D4A83">
      <w:pPr>
        <w:pStyle w:val="Allmrkusetekst"/>
      </w:pPr>
      <w:r>
        <w:rPr>
          <w:rStyle w:val="Allmrkuseviide"/>
        </w:rPr>
        <w:footnoteRef/>
      </w:r>
      <w:r>
        <w:t xml:space="preserve"> </w:t>
      </w:r>
      <w:r w:rsidRPr="002B3530">
        <w:rPr>
          <w:rFonts w:eastAsiaTheme="minorEastAsia"/>
          <w:bCs/>
          <w:i/>
          <w:iCs/>
          <w:sz w:val="22"/>
          <w:szCs w:val="22"/>
        </w:rPr>
        <w:t>Annals of Oncology 27 (Supplement 5): v1–v27, 2016 doi:10.1093/annonc/mdw326</w:t>
      </w:r>
      <w:r>
        <w:rPr>
          <w:rFonts w:eastAsiaTheme="minorEastAsia"/>
          <w:bCs/>
          <w:i/>
          <w:iCs/>
          <w:sz w:val="22"/>
          <w:szCs w:val="22"/>
        </w:rPr>
        <w:t xml:space="preserve"> </w:t>
      </w:r>
    </w:p>
  </w:footnote>
  <w:footnote w:id="3">
    <w:p w14:paraId="1EAC48B1" w14:textId="77777777" w:rsidR="005D4A83" w:rsidRDefault="005D4A83">
      <w:pPr>
        <w:pStyle w:val="Allmrkusetekst"/>
      </w:pPr>
      <w:r>
        <w:rPr>
          <w:rStyle w:val="Allmrkuseviide"/>
        </w:rPr>
        <w:footnoteRef/>
      </w:r>
      <w:r>
        <w:t xml:space="preserve"> </w:t>
      </w:r>
      <w:r w:rsidRPr="002B3530">
        <w:rPr>
          <w:rFonts w:eastAsiaTheme="minorEastAsia"/>
          <w:bCs/>
          <w:i/>
          <w:iCs/>
          <w:sz w:val="22"/>
          <w:szCs w:val="22"/>
        </w:rPr>
        <w:t>http://www.who.int/mediacentre/factsheets/fs297/en/</w:t>
      </w:r>
    </w:p>
  </w:footnote>
  <w:footnote w:id="4">
    <w:p w14:paraId="526D679F" w14:textId="77777777" w:rsidR="006A6B84" w:rsidRDefault="006A6B84">
      <w:pPr>
        <w:pStyle w:val="Allmrkusetekst"/>
      </w:pPr>
      <w:r>
        <w:rPr>
          <w:rStyle w:val="Allmrkuseviide"/>
        </w:rPr>
        <w:footnoteRef/>
      </w:r>
      <w:r>
        <w:t xml:space="preserve"> </w:t>
      </w:r>
      <w:hyperlink r:id="rId1" w:history="1">
        <w:r w:rsidRPr="003631A0">
          <w:rPr>
            <w:rStyle w:val="Hperlink"/>
          </w:rPr>
          <w:t>http://rahvatervis.ut.ee/handle/1/5724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889"/>
    <w:multiLevelType w:val="hybridMultilevel"/>
    <w:tmpl w:val="BEFC6790"/>
    <w:lvl w:ilvl="0" w:tplc="D278CE6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 w15:restartNumberingAfterBreak="0">
    <w:nsid w:val="05D869E4"/>
    <w:multiLevelType w:val="hybridMultilevel"/>
    <w:tmpl w:val="336872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42105C"/>
    <w:multiLevelType w:val="hybridMultilevel"/>
    <w:tmpl w:val="815651AC"/>
    <w:lvl w:ilvl="0" w:tplc="CAC0BC24">
      <w:start w:val="1"/>
      <w:numFmt w:val="bullet"/>
      <w:lvlText w:val="-"/>
      <w:lvlJc w:val="left"/>
      <w:pPr>
        <w:tabs>
          <w:tab w:val="num" w:pos="720"/>
        </w:tabs>
        <w:ind w:left="720" w:hanging="360"/>
      </w:pPr>
      <w:rPr>
        <w:rFonts w:ascii="Times New Roman" w:hAnsi="Times New Roman" w:hint="default"/>
      </w:rPr>
    </w:lvl>
    <w:lvl w:ilvl="1" w:tplc="5394A88A" w:tentative="1">
      <w:start w:val="1"/>
      <w:numFmt w:val="bullet"/>
      <w:lvlText w:val="-"/>
      <w:lvlJc w:val="left"/>
      <w:pPr>
        <w:tabs>
          <w:tab w:val="num" w:pos="1440"/>
        </w:tabs>
        <w:ind w:left="1440" w:hanging="360"/>
      </w:pPr>
      <w:rPr>
        <w:rFonts w:ascii="Times New Roman" w:hAnsi="Times New Roman" w:hint="default"/>
      </w:rPr>
    </w:lvl>
    <w:lvl w:ilvl="2" w:tplc="69B0DE5C" w:tentative="1">
      <w:start w:val="1"/>
      <w:numFmt w:val="bullet"/>
      <w:lvlText w:val="-"/>
      <w:lvlJc w:val="left"/>
      <w:pPr>
        <w:tabs>
          <w:tab w:val="num" w:pos="2160"/>
        </w:tabs>
        <w:ind w:left="2160" w:hanging="360"/>
      </w:pPr>
      <w:rPr>
        <w:rFonts w:ascii="Times New Roman" w:hAnsi="Times New Roman" w:hint="default"/>
      </w:rPr>
    </w:lvl>
    <w:lvl w:ilvl="3" w:tplc="11BA78AC" w:tentative="1">
      <w:start w:val="1"/>
      <w:numFmt w:val="bullet"/>
      <w:lvlText w:val="-"/>
      <w:lvlJc w:val="left"/>
      <w:pPr>
        <w:tabs>
          <w:tab w:val="num" w:pos="2880"/>
        </w:tabs>
        <w:ind w:left="2880" w:hanging="360"/>
      </w:pPr>
      <w:rPr>
        <w:rFonts w:ascii="Times New Roman" w:hAnsi="Times New Roman" w:hint="default"/>
      </w:rPr>
    </w:lvl>
    <w:lvl w:ilvl="4" w:tplc="CD30678C" w:tentative="1">
      <w:start w:val="1"/>
      <w:numFmt w:val="bullet"/>
      <w:lvlText w:val="-"/>
      <w:lvlJc w:val="left"/>
      <w:pPr>
        <w:tabs>
          <w:tab w:val="num" w:pos="3600"/>
        </w:tabs>
        <w:ind w:left="3600" w:hanging="360"/>
      </w:pPr>
      <w:rPr>
        <w:rFonts w:ascii="Times New Roman" w:hAnsi="Times New Roman" w:hint="default"/>
      </w:rPr>
    </w:lvl>
    <w:lvl w:ilvl="5" w:tplc="DE4A61E2" w:tentative="1">
      <w:start w:val="1"/>
      <w:numFmt w:val="bullet"/>
      <w:lvlText w:val="-"/>
      <w:lvlJc w:val="left"/>
      <w:pPr>
        <w:tabs>
          <w:tab w:val="num" w:pos="4320"/>
        </w:tabs>
        <w:ind w:left="4320" w:hanging="360"/>
      </w:pPr>
      <w:rPr>
        <w:rFonts w:ascii="Times New Roman" w:hAnsi="Times New Roman" w:hint="default"/>
      </w:rPr>
    </w:lvl>
    <w:lvl w:ilvl="6" w:tplc="B4628D18" w:tentative="1">
      <w:start w:val="1"/>
      <w:numFmt w:val="bullet"/>
      <w:lvlText w:val="-"/>
      <w:lvlJc w:val="left"/>
      <w:pPr>
        <w:tabs>
          <w:tab w:val="num" w:pos="5040"/>
        </w:tabs>
        <w:ind w:left="5040" w:hanging="360"/>
      </w:pPr>
      <w:rPr>
        <w:rFonts w:ascii="Times New Roman" w:hAnsi="Times New Roman" w:hint="default"/>
      </w:rPr>
    </w:lvl>
    <w:lvl w:ilvl="7" w:tplc="5B28646E" w:tentative="1">
      <w:start w:val="1"/>
      <w:numFmt w:val="bullet"/>
      <w:lvlText w:val="-"/>
      <w:lvlJc w:val="left"/>
      <w:pPr>
        <w:tabs>
          <w:tab w:val="num" w:pos="5760"/>
        </w:tabs>
        <w:ind w:left="5760" w:hanging="360"/>
      </w:pPr>
      <w:rPr>
        <w:rFonts w:ascii="Times New Roman" w:hAnsi="Times New Roman" w:hint="default"/>
      </w:rPr>
    </w:lvl>
    <w:lvl w:ilvl="8" w:tplc="4DA2CE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B81A4B"/>
    <w:multiLevelType w:val="hybridMultilevel"/>
    <w:tmpl w:val="B04CFD0E"/>
    <w:lvl w:ilvl="0" w:tplc="55D67ADE">
      <w:start w:val="1"/>
      <w:numFmt w:val="bullet"/>
      <w:lvlText w:val="-"/>
      <w:lvlJc w:val="left"/>
      <w:pPr>
        <w:ind w:left="1080" w:hanging="360"/>
      </w:pPr>
      <w:rPr>
        <w:rFonts w:ascii="Times New Roman" w:hAnsi="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1874563D"/>
    <w:multiLevelType w:val="hybridMultilevel"/>
    <w:tmpl w:val="A6EAED7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89D67B9"/>
    <w:multiLevelType w:val="hybridMultilevel"/>
    <w:tmpl w:val="D8A4CC32"/>
    <w:lvl w:ilvl="0" w:tplc="419C83A4">
      <w:start w:val="1"/>
      <w:numFmt w:val="bullet"/>
      <w:lvlText w:val="•"/>
      <w:lvlJc w:val="left"/>
      <w:pPr>
        <w:tabs>
          <w:tab w:val="num" w:pos="720"/>
        </w:tabs>
        <w:ind w:left="720" w:hanging="360"/>
      </w:pPr>
      <w:rPr>
        <w:rFonts w:ascii="Times New Roman" w:hAnsi="Times New Roman" w:hint="default"/>
      </w:rPr>
    </w:lvl>
    <w:lvl w:ilvl="1" w:tplc="B33A639A" w:tentative="1">
      <w:start w:val="1"/>
      <w:numFmt w:val="bullet"/>
      <w:lvlText w:val="•"/>
      <w:lvlJc w:val="left"/>
      <w:pPr>
        <w:tabs>
          <w:tab w:val="num" w:pos="1440"/>
        </w:tabs>
        <w:ind w:left="1440" w:hanging="360"/>
      </w:pPr>
      <w:rPr>
        <w:rFonts w:ascii="Times New Roman" w:hAnsi="Times New Roman" w:hint="default"/>
      </w:rPr>
    </w:lvl>
    <w:lvl w:ilvl="2" w:tplc="829C236C" w:tentative="1">
      <w:start w:val="1"/>
      <w:numFmt w:val="bullet"/>
      <w:lvlText w:val="•"/>
      <w:lvlJc w:val="left"/>
      <w:pPr>
        <w:tabs>
          <w:tab w:val="num" w:pos="2160"/>
        </w:tabs>
        <w:ind w:left="2160" w:hanging="360"/>
      </w:pPr>
      <w:rPr>
        <w:rFonts w:ascii="Times New Roman" w:hAnsi="Times New Roman" w:hint="default"/>
      </w:rPr>
    </w:lvl>
    <w:lvl w:ilvl="3" w:tplc="521A4370" w:tentative="1">
      <w:start w:val="1"/>
      <w:numFmt w:val="bullet"/>
      <w:lvlText w:val="•"/>
      <w:lvlJc w:val="left"/>
      <w:pPr>
        <w:tabs>
          <w:tab w:val="num" w:pos="2880"/>
        </w:tabs>
        <w:ind w:left="2880" w:hanging="360"/>
      </w:pPr>
      <w:rPr>
        <w:rFonts w:ascii="Times New Roman" w:hAnsi="Times New Roman" w:hint="default"/>
      </w:rPr>
    </w:lvl>
    <w:lvl w:ilvl="4" w:tplc="7862B33E" w:tentative="1">
      <w:start w:val="1"/>
      <w:numFmt w:val="bullet"/>
      <w:lvlText w:val="•"/>
      <w:lvlJc w:val="left"/>
      <w:pPr>
        <w:tabs>
          <w:tab w:val="num" w:pos="3600"/>
        </w:tabs>
        <w:ind w:left="3600" w:hanging="360"/>
      </w:pPr>
      <w:rPr>
        <w:rFonts w:ascii="Times New Roman" w:hAnsi="Times New Roman" w:hint="default"/>
      </w:rPr>
    </w:lvl>
    <w:lvl w:ilvl="5" w:tplc="BD6AFD96" w:tentative="1">
      <w:start w:val="1"/>
      <w:numFmt w:val="bullet"/>
      <w:lvlText w:val="•"/>
      <w:lvlJc w:val="left"/>
      <w:pPr>
        <w:tabs>
          <w:tab w:val="num" w:pos="4320"/>
        </w:tabs>
        <w:ind w:left="4320" w:hanging="360"/>
      </w:pPr>
      <w:rPr>
        <w:rFonts w:ascii="Times New Roman" w:hAnsi="Times New Roman" w:hint="default"/>
      </w:rPr>
    </w:lvl>
    <w:lvl w:ilvl="6" w:tplc="0F6ACE74" w:tentative="1">
      <w:start w:val="1"/>
      <w:numFmt w:val="bullet"/>
      <w:lvlText w:val="•"/>
      <w:lvlJc w:val="left"/>
      <w:pPr>
        <w:tabs>
          <w:tab w:val="num" w:pos="5040"/>
        </w:tabs>
        <w:ind w:left="5040" w:hanging="360"/>
      </w:pPr>
      <w:rPr>
        <w:rFonts w:ascii="Times New Roman" w:hAnsi="Times New Roman" w:hint="default"/>
      </w:rPr>
    </w:lvl>
    <w:lvl w:ilvl="7" w:tplc="B14A0C30" w:tentative="1">
      <w:start w:val="1"/>
      <w:numFmt w:val="bullet"/>
      <w:lvlText w:val="•"/>
      <w:lvlJc w:val="left"/>
      <w:pPr>
        <w:tabs>
          <w:tab w:val="num" w:pos="5760"/>
        </w:tabs>
        <w:ind w:left="5760" w:hanging="360"/>
      </w:pPr>
      <w:rPr>
        <w:rFonts w:ascii="Times New Roman" w:hAnsi="Times New Roman" w:hint="default"/>
      </w:rPr>
    </w:lvl>
    <w:lvl w:ilvl="8" w:tplc="D11CC5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853175"/>
    <w:multiLevelType w:val="hybridMultilevel"/>
    <w:tmpl w:val="01F2F158"/>
    <w:lvl w:ilvl="0" w:tplc="60A4F9BE">
      <w:start w:val="1"/>
      <w:numFmt w:val="decimal"/>
      <w:lvlText w:val="%1."/>
      <w:lvlJc w:val="left"/>
      <w:pPr>
        <w:ind w:left="360" w:hanging="360"/>
      </w:pPr>
      <w:rPr>
        <w:rFonts w:asciiTheme="minorHAnsi" w:eastAsiaTheme="minorHAnsi" w:hAnsiTheme="minorHAnsi" w:cstheme="minorBidi"/>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31C505C9"/>
    <w:multiLevelType w:val="hybridMultilevel"/>
    <w:tmpl w:val="39F86EB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5595BC9"/>
    <w:multiLevelType w:val="hybridMultilevel"/>
    <w:tmpl w:val="01F2F158"/>
    <w:lvl w:ilvl="0" w:tplc="60A4F9BE">
      <w:start w:val="1"/>
      <w:numFmt w:val="decimal"/>
      <w:lvlText w:val="%1."/>
      <w:lvlJc w:val="left"/>
      <w:pPr>
        <w:ind w:left="360" w:hanging="360"/>
      </w:pPr>
      <w:rPr>
        <w:rFonts w:asciiTheme="minorHAnsi" w:eastAsiaTheme="minorHAnsi" w:hAnsiTheme="minorHAnsi" w:cstheme="minorBidi"/>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37627842"/>
    <w:multiLevelType w:val="hybridMultilevel"/>
    <w:tmpl w:val="589817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95E0FC1"/>
    <w:multiLevelType w:val="hybridMultilevel"/>
    <w:tmpl w:val="45949350"/>
    <w:lvl w:ilvl="0" w:tplc="E32A598C">
      <w:start w:val="1"/>
      <w:numFmt w:val="decimal"/>
      <w:lvlText w:val="%1)"/>
      <w:lvlJc w:val="left"/>
      <w:pPr>
        <w:tabs>
          <w:tab w:val="num" w:pos="720"/>
        </w:tabs>
        <w:ind w:left="720" w:hanging="360"/>
      </w:pPr>
    </w:lvl>
    <w:lvl w:ilvl="1" w:tplc="C744FF76" w:tentative="1">
      <w:start w:val="1"/>
      <w:numFmt w:val="decimal"/>
      <w:lvlText w:val="%2)"/>
      <w:lvlJc w:val="left"/>
      <w:pPr>
        <w:tabs>
          <w:tab w:val="num" w:pos="1440"/>
        </w:tabs>
        <w:ind w:left="1440" w:hanging="360"/>
      </w:pPr>
    </w:lvl>
    <w:lvl w:ilvl="2" w:tplc="D64A9790" w:tentative="1">
      <w:start w:val="1"/>
      <w:numFmt w:val="decimal"/>
      <w:lvlText w:val="%3)"/>
      <w:lvlJc w:val="left"/>
      <w:pPr>
        <w:tabs>
          <w:tab w:val="num" w:pos="2160"/>
        </w:tabs>
        <w:ind w:left="2160" w:hanging="360"/>
      </w:pPr>
    </w:lvl>
    <w:lvl w:ilvl="3" w:tplc="E67006D0" w:tentative="1">
      <w:start w:val="1"/>
      <w:numFmt w:val="decimal"/>
      <w:lvlText w:val="%4)"/>
      <w:lvlJc w:val="left"/>
      <w:pPr>
        <w:tabs>
          <w:tab w:val="num" w:pos="2880"/>
        </w:tabs>
        <w:ind w:left="2880" w:hanging="360"/>
      </w:pPr>
    </w:lvl>
    <w:lvl w:ilvl="4" w:tplc="D56287D8" w:tentative="1">
      <w:start w:val="1"/>
      <w:numFmt w:val="decimal"/>
      <w:lvlText w:val="%5)"/>
      <w:lvlJc w:val="left"/>
      <w:pPr>
        <w:tabs>
          <w:tab w:val="num" w:pos="3600"/>
        </w:tabs>
        <w:ind w:left="3600" w:hanging="360"/>
      </w:pPr>
    </w:lvl>
    <w:lvl w:ilvl="5" w:tplc="084EF74E" w:tentative="1">
      <w:start w:val="1"/>
      <w:numFmt w:val="decimal"/>
      <w:lvlText w:val="%6)"/>
      <w:lvlJc w:val="left"/>
      <w:pPr>
        <w:tabs>
          <w:tab w:val="num" w:pos="4320"/>
        </w:tabs>
        <w:ind w:left="4320" w:hanging="360"/>
      </w:pPr>
    </w:lvl>
    <w:lvl w:ilvl="6" w:tplc="27B6BD24" w:tentative="1">
      <w:start w:val="1"/>
      <w:numFmt w:val="decimal"/>
      <w:lvlText w:val="%7)"/>
      <w:lvlJc w:val="left"/>
      <w:pPr>
        <w:tabs>
          <w:tab w:val="num" w:pos="5040"/>
        </w:tabs>
        <w:ind w:left="5040" w:hanging="360"/>
      </w:pPr>
    </w:lvl>
    <w:lvl w:ilvl="7" w:tplc="8C2CEB52" w:tentative="1">
      <w:start w:val="1"/>
      <w:numFmt w:val="decimal"/>
      <w:lvlText w:val="%8)"/>
      <w:lvlJc w:val="left"/>
      <w:pPr>
        <w:tabs>
          <w:tab w:val="num" w:pos="5760"/>
        </w:tabs>
        <w:ind w:left="5760" w:hanging="360"/>
      </w:pPr>
    </w:lvl>
    <w:lvl w:ilvl="8" w:tplc="631A7868" w:tentative="1">
      <w:start w:val="1"/>
      <w:numFmt w:val="decimal"/>
      <w:lvlText w:val="%9)"/>
      <w:lvlJc w:val="left"/>
      <w:pPr>
        <w:tabs>
          <w:tab w:val="num" w:pos="6480"/>
        </w:tabs>
        <w:ind w:left="6480" w:hanging="360"/>
      </w:pPr>
    </w:lvl>
  </w:abstractNum>
  <w:abstractNum w:abstractNumId="11" w15:restartNumberingAfterBreak="0">
    <w:nsid w:val="41C738B6"/>
    <w:multiLevelType w:val="hybridMultilevel"/>
    <w:tmpl w:val="2C448266"/>
    <w:lvl w:ilvl="0" w:tplc="04250017">
      <w:start w:val="2"/>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2AC7756"/>
    <w:multiLevelType w:val="hybridMultilevel"/>
    <w:tmpl w:val="6E2649EA"/>
    <w:lvl w:ilvl="0" w:tplc="55D67ADE">
      <w:start w:val="1"/>
      <w:numFmt w:val="bullet"/>
      <w:lvlText w:val="-"/>
      <w:lvlJc w:val="left"/>
      <w:pPr>
        <w:tabs>
          <w:tab w:val="num" w:pos="360"/>
        </w:tabs>
        <w:ind w:left="360" w:hanging="360"/>
      </w:pPr>
      <w:rPr>
        <w:rFonts w:ascii="Times New Roman" w:hAnsi="Times New Roman" w:hint="default"/>
      </w:rPr>
    </w:lvl>
    <w:lvl w:ilvl="1" w:tplc="1808730E" w:tentative="1">
      <w:start w:val="1"/>
      <w:numFmt w:val="bullet"/>
      <w:lvlText w:val="-"/>
      <w:lvlJc w:val="left"/>
      <w:pPr>
        <w:tabs>
          <w:tab w:val="num" w:pos="1080"/>
        </w:tabs>
        <w:ind w:left="1080" w:hanging="360"/>
      </w:pPr>
      <w:rPr>
        <w:rFonts w:ascii="Times New Roman" w:hAnsi="Times New Roman" w:hint="default"/>
      </w:rPr>
    </w:lvl>
    <w:lvl w:ilvl="2" w:tplc="42669346" w:tentative="1">
      <w:start w:val="1"/>
      <w:numFmt w:val="bullet"/>
      <w:lvlText w:val="-"/>
      <w:lvlJc w:val="left"/>
      <w:pPr>
        <w:tabs>
          <w:tab w:val="num" w:pos="1800"/>
        </w:tabs>
        <w:ind w:left="1800" w:hanging="360"/>
      </w:pPr>
      <w:rPr>
        <w:rFonts w:ascii="Times New Roman" w:hAnsi="Times New Roman" w:hint="default"/>
      </w:rPr>
    </w:lvl>
    <w:lvl w:ilvl="3" w:tplc="5D1A3056" w:tentative="1">
      <w:start w:val="1"/>
      <w:numFmt w:val="bullet"/>
      <w:lvlText w:val="-"/>
      <w:lvlJc w:val="left"/>
      <w:pPr>
        <w:tabs>
          <w:tab w:val="num" w:pos="2520"/>
        </w:tabs>
        <w:ind w:left="2520" w:hanging="360"/>
      </w:pPr>
      <w:rPr>
        <w:rFonts w:ascii="Times New Roman" w:hAnsi="Times New Roman" w:hint="default"/>
      </w:rPr>
    </w:lvl>
    <w:lvl w:ilvl="4" w:tplc="BF2ED5BC" w:tentative="1">
      <w:start w:val="1"/>
      <w:numFmt w:val="bullet"/>
      <w:lvlText w:val="-"/>
      <w:lvlJc w:val="left"/>
      <w:pPr>
        <w:tabs>
          <w:tab w:val="num" w:pos="3240"/>
        </w:tabs>
        <w:ind w:left="3240" w:hanging="360"/>
      </w:pPr>
      <w:rPr>
        <w:rFonts w:ascii="Times New Roman" w:hAnsi="Times New Roman" w:hint="default"/>
      </w:rPr>
    </w:lvl>
    <w:lvl w:ilvl="5" w:tplc="3A66DAC4" w:tentative="1">
      <w:start w:val="1"/>
      <w:numFmt w:val="bullet"/>
      <w:lvlText w:val="-"/>
      <w:lvlJc w:val="left"/>
      <w:pPr>
        <w:tabs>
          <w:tab w:val="num" w:pos="3960"/>
        </w:tabs>
        <w:ind w:left="3960" w:hanging="360"/>
      </w:pPr>
      <w:rPr>
        <w:rFonts w:ascii="Times New Roman" w:hAnsi="Times New Roman" w:hint="default"/>
      </w:rPr>
    </w:lvl>
    <w:lvl w:ilvl="6" w:tplc="1B6E9F2C" w:tentative="1">
      <w:start w:val="1"/>
      <w:numFmt w:val="bullet"/>
      <w:lvlText w:val="-"/>
      <w:lvlJc w:val="left"/>
      <w:pPr>
        <w:tabs>
          <w:tab w:val="num" w:pos="4680"/>
        </w:tabs>
        <w:ind w:left="4680" w:hanging="360"/>
      </w:pPr>
      <w:rPr>
        <w:rFonts w:ascii="Times New Roman" w:hAnsi="Times New Roman" w:hint="default"/>
      </w:rPr>
    </w:lvl>
    <w:lvl w:ilvl="7" w:tplc="E1227130" w:tentative="1">
      <w:start w:val="1"/>
      <w:numFmt w:val="bullet"/>
      <w:lvlText w:val="-"/>
      <w:lvlJc w:val="left"/>
      <w:pPr>
        <w:tabs>
          <w:tab w:val="num" w:pos="5400"/>
        </w:tabs>
        <w:ind w:left="5400" w:hanging="360"/>
      </w:pPr>
      <w:rPr>
        <w:rFonts w:ascii="Times New Roman" w:hAnsi="Times New Roman" w:hint="default"/>
      </w:rPr>
    </w:lvl>
    <w:lvl w:ilvl="8" w:tplc="B9AC9CC0"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4A3522C1"/>
    <w:multiLevelType w:val="hybridMultilevel"/>
    <w:tmpl w:val="C1AC56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B122D48"/>
    <w:multiLevelType w:val="hybridMultilevel"/>
    <w:tmpl w:val="9E70A758"/>
    <w:lvl w:ilvl="0" w:tplc="55D67ADE">
      <w:start w:val="1"/>
      <w:numFmt w:val="bullet"/>
      <w:lvlText w:val="-"/>
      <w:lvlJc w:val="left"/>
      <w:pPr>
        <w:ind w:left="720" w:hanging="360"/>
      </w:pPr>
      <w:rPr>
        <w:rFonts w:ascii="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27F68B4"/>
    <w:multiLevelType w:val="hybridMultilevel"/>
    <w:tmpl w:val="84CE69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4B66D2B"/>
    <w:multiLevelType w:val="hybridMultilevel"/>
    <w:tmpl w:val="A198D4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60C3390"/>
    <w:multiLevelType w:val="hybridMultilevel"/>
    <w:tmpl w:val="A99683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86C41CC"/>
    <w:multiLevelType w:val="hybridMultilevel"/>
    <w:tmpl w:val="CBE0FF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04A04E0"/>
    <w:multiLevelType w:val="hybridMultilevel"/>
    <w:tmpl w:val="AE22EF5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3A95D50"/>
    <w:multiLevelType w:val="hybridMultilevel"/>
    <w:tmpl w:val="21783D3C"/>
    <w:lvl w:ilvl="0" w:tplc="55D67ADE">
      <w:start w:val="1"/>
      <w:numFmt w:val="bullet"/>
      <w:lvlText w:val="-"/>
      <w:lvlJc w:val="left"/>
      <w:pPr>
        <w:ind w:left="720" w:hanging="360"/>
      </w:pPr>
      <w:rPr>
        <w:rFonts w:ascii="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5C96B21"/>
    <w:multiLevelType w:val="hybridMultilevel"/>
    <w:tmpl w:val="322E9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13"/>
  </w:num>
  <w:num w:numId="5">
    <w:abstractNumId w:val="21"/>
  </w:num>
  <w:num w:numId="6">
    <w:abstractNumId w:val="17"/>
  </w:num>
  <w:num w:numId="7">
    <w:abstractNumId w:val="15"/>
  </w:num>
  <w:num w:numId="8">
    <w:abstractNumId w:val="1"/>
  </w:num>
  <w:num w:numId="9">
    <w:abstractNumId w:val="12"/>
  </w:num>
  <w:num w:numId="10">
    <w:abstractNumId w:val="2"/>
  </w:num>
  <w:num w:numId="11">
    <w:abstractNumId w:val="5"/>
  </w:num>
  <w:num w:numId="12">
    <w:abstractNumId w:val="14"/>
  </w:num>
  <w:num w:numId="13">
    <w:abstractNumId w:val="3"/>
  </w:num>
  <w:num w:numId="14">
    <w:abstractNumId w:val="18"/>
  </w:num>
  <w:num w:numId="15">
    <w:abstractNumId w:val="20"/>
  </w:num>
  <w:num w:numId="16">
    <w:abstractNumId w:val="10"/>
  </w:num>
  <w:num w:numId="17">
    <w:abstractNumId w:val="4"/>
  </w:num>
  <w:num w:numId="18">
    <w:abstractNumId w:val="6"/>
  </w:num>
  <w:num w:numId="19">
    <w:abstractNumId w:val="19"/>
  </w:num>
  <w:num w:numId="20">
    <w:abstractNumId w:val="1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57"/>
    <w:rsid w:val="000003F4"/>
    <w:rsid w:val="00000A31"/>
    <w:rsid w:val="00003E40"/>
    <w:rsid w:val="000064F3"/>
    <w:rsid w:val="000070EA"/>
    <w:rsid w:val="0001423C"/>
    <w:rsid w:val="00014FE8"/>
    <w:rsid w:val="00015287"/>
    <w:rsid w:val="00016405"/>
    <w:rsid w:val="000209BD"/>
    <w:rsid w:val="0002205C"/>
    <w:rsid w:val="00022E1C"/>
    <w:rsid w:val="00022F29"/>
    <w:rsid w:val="0002329F"/>
    <w:rsid w:val="0002362E"/>
    <w:rsid w:val="00023AFF"/>
    <w:rsid w:val="0002443A"/>
    <w:rsid w:val="00026A92"/>
    <w:rsid w:val="000306FA"/>
    <w:rsid w:val="0003341F"/>
    <w:rsid w:val="00034BBE"/>
    <w:rsid w:val="0003652E"/>
    <w:rsid w:val="000410E1"/>
    <w:rsid w:val="000417C1"/>
    <w:rsid w:val="00041BF1"/>
    <w:rsid w:val="000420A7"/>
    <w:rsid w:val="000439F2"/>
    <w:rsid w:val="00044AC7"/>
    <w:rsid w:val="000462F6"/>
    <w:rsid w:val="00051F2B"/>
    <w:rsid w:val="00052D41"/>
    <w:rsid w:val="000540F1"/>
    <w:rsid w:val="00057B5E"/>
    <w:rsid w:val="00057D6A"/>
    <w:rsid w:val="00062F57"/>
    <w:rsid w:val="00063480"/>
    <w:rsid w:val="00067700"/>
    <w:rsid w:val="00071347"/>
    <w:rsid w:val="000720D7"/>
    <w:rsid w:val="00072C2B"/>
    <w:rsid w:val="000731E1"/>
    <w:rsid w:val="00073466"/>
    <w:rsid w:val="00073F20"/>
    <w:rsid w:val="0007413D"/>
    <w:rsid w:val="00074D9B"/>
    <w:rsid w:val="000761C1"/>
    <w:rsid w:val="00077088"/>
    <w:rsid w:val="00081284"/>
    <w:rsid w:val="000815E9"/>
    <w:rsid w:val="000873B5"/>
    <w:rsid w:val="0009478D"/>
    <w:rsid w:val="000A168A"/>
    <w:rsid w:val="000A25E6"/>
    <w:rsid w:val="000A5D1D"/>
    <w:rsid w:val="000A70B8"/>
    <w:rsid w:val="000A7229"/>
    <w:rsid w:val="000B08FF"/>
    <w:rsid w:val="000B1EEE"/>
    <w:rsid w:val="000B5657"/>
    <w:rsid w:val="000B6258"/>
    <w:rsid w:val="000C2CCB"/>
    <w:rsid w:val="000C391E"/>
    <w:rsid w:val="000C5CD7"/>
    <w:rsid w:val="000C6959"/>
    <w:rsid w:val="000C7244"/>
    <w:rsid w:val="000C7695"/>
    <w:rsid w:val="000D1B88"/>
    <w:rsid w:val="000D6167"/>
    <w:rsid w:val="000D6B5E"/>
    <w:rsid w:val="000E2BD0"/>
    <w:rsid w:val="000E452F"/>
    <w:rsid w:val="000E618B"/>
    <w:rsid w:val="000F107D"/>
    <w:rsid w:val="000F1419"/>
    <w:rsid w:val="000F29D3"/>
    <w:rsid w:val="000F7376"/>
    <w:rsid w:val="000F76B4"/>
    <w:rsid w:val="00101966"/>
    <w:rsid w:val="00101E3B"/>
    <w:rsid w:val="00101EDC"/>
    <w:rsid w:val="00105895"/>
    <w:rsid w:val="00106F74"/>
    <w:rsid w:val="00111FFD"/>
    <w:rsid w:val="00113FC1"/>
    <w:rsid w:val="00115238"/>
    <w:rsid w:val="001163ED"/>
    <w:rsid w:val="001168A1"/>
    <w:rsid w:val="00121341"/>
    <w:rsid w:val="001214D6"/>
    <w:rsid w:val="00123A27"/>
    <w:rsid w:val="0012456A"/>
    <w:rsid w:val="001246AA"/>
    <w:rsid w:val="00124A8E"/>
    <w:rsid w:val="00124AE9"/>
    <w:rsid w:val="001250DF"/>
    <w:rsid w:val="001266E0"/>
    <w:rsid w:val="001267BF"/>
    <w:rsid w:val="00127ABE"/>
    <w:rsid w:val="00127C1C"/>
    <w:rsid w:val="001318C0"/>
    <w:rsid w:val="00131A32"/>
    <w:rsid w:val="00131D9C"/>
    <w:rsid w:val="0013359F"/>
    <w:rsid w:val="00134195"/>
    <w:rsid w:val="001348AC"/>
    <w:rsid w:val="00136DD6"/>
    <w:rsid w:val="00140F8F"/>
    <w:rsid w:val="00141A4B"/>
    <w:rsid w:val="00145A21"/>
    <w:rsid w:val="00145B4F"/>
    <w:rsid w:val="00147668"/>
    <w:rsid w:val="00151F18"/>
    <w:rsid w:val="00153A85"/>
    <w:rsid w:val="00154E5B"/>
    <w:rsid w:val="00154FC6"/>
    <w:rsid w:val="00156D7F"/>
    <w:rsid w:val="001620EF"/>
    <w:rsid w:val="00162102"/>
    <w:rsid w:val="00165447"/>
    <w:rsid w:val="00170315"/>
    <w:rsid w:val="001719EE"/>
    <w:rsid w:val="00172F56"/>
    <w:rsid w:val="00173926"/>
    <w:rsid w:val="0017514B"/>
    <w:rsid w:val="0018084A"/>
    <w:rsid w:val="001808C2"/>
    <w:rsid w:val="001808E8"/>
    <w:rsid w:val="00184160"/>
    <w:rsid w:val="0018549C"/>
    <w:rsid w:val="001861B9"/>
    <w:rsid w:val="00187428"/>
    <w:rsid w:val="00194E19"/>
    <w:rsid w:val="00196445"/>
    <w:rsid w:val="001A33D8"/>
    <w:rsid w:val="001A371B"/>
    <w:rsid w:val="001A38F1"/>
    <w:rsid w:val="001A5DFB"/>
    <w:rsid w:val="001A5EFF"/>
    <w:rsid w:val="001A723D"/>
    <w:rsid w:val="001B17F9"/>
    <w:rsid w:val="001B208C"/>
    <w:rsid w:val="001B4EF1"/>
    <w:rsid w:val="001B75BA"/>
    <w:rsid w:val="001C21F5"/>
    <w:rsid w:val="001C4966"/>
    <w:rsid w:val="001C781B"/>
    <w:rsid w:val="001D28C7"/>
    <w:rsid w:val="001D6CC3"/>
    <w:rsid w:val="001E193D"/>
    <w:rsid w:val="001E543E"/>
    <w:rsid w:val="001E59F1"/>
    <w:rsid w:val="001E61BA"/>
    <w:rsid w:val="001F0CBE"/>
    <w:rsid w:val="001F1B09"/>
    <w:rsid w:val="001F2F98"/>
    <w:rsid w:val="00200EEF"/>
    <w:rsid w:val="0020108E"/>
    <w:rsid w:val="00202523"/>
    <w:rsid w:val="00204CFC"/>
    <w:rsid w:val="00206FC6"/>
    <w:rsid w:val="00210B90"/>
    <w:rsid w:val="00212170"/>
    <w:rsid w:val="0021339B"/>
    <w:rsid w:val="00215195"/>
    <w:rsid w:val="002236A7"/>
    <w:rsid w:val="00224EAE"/>
    <w:rsid w:val="00224F8F"/>
    <w:rsid w:val="00225328"/>
    <w:rsid w:val="002262A6"/>
    <w:rsid w:val="00227F3C"/>
    <w:rsid w:val="00232837"/>
    <w:rsid w:val="00234D5C"/>
    <w:rsid w:val="00235BC3"/>
    <w:rsid w:val="00236972"/>
    <w:rsid w:val="002379F8"/>
    <w:rsid w:val="00240E6B"/>
    <w:rsid w:val="00242BE5"/>
    <w:rsid w:val="002438E3"/>
    <w:rsid w:val="00252D9D"/>
    <w:rsid w:val="00255779"/>
    <w:rsid w:val="00257346"/>
    <w:rsid w:val="00261457"/>
    <w:rsid w:val="00263BA8"/>
    <w:rsid w:val="002647AC"/>
    <w:rsid w:val="00264B72"/>
    <w:rsid w:val="00267949"/>
    <w:rsid w:val="00270BCD"/>
    <w:rsid w:val="00272D70"/>
    <w:rsid w:val="00273E17"/>
    <w:rsid w:val="0027418B"/>
    <w:rsid w:val="00276C49"/>
    <w:rsid w:val="002778A8"/>
    <w:rsid w:val="00277CA6"/>
    <w:rsid w:val="00281C07"/>
    <w:rsid w:val="0028674E"/>
    <w:rsid w:val="002877B8"/>
    <w:rsid w:val="002916F2"/>
    <w:rsid w:val="00292004"/>
    <w:rsid w:val="00293371"/>
    <w:rsid w:val="00293B0E"/>
    <w:rsid w:val="00295A4F"/>
    <w:rsid w:val="00296568"/>
    <w:rsid w:val="002A0F66"/>
    <w:rsid w:val="002A3308"/>
    <w:rsid w:val="002A509B"/>
    <w:rsid w:val="002A50EA"/>
    <w:rsid w:val="002A5355"/>
    <w:rsid w:val="002A6A42"/>
    <w:rsid w:val="002B312E"/>
    <w:rsid w:val="002B3530"/>
    <w:rsid w:val="002B73AA"/>
    <w:rsid w:val="002C3053"/>
    <w:rsid w:val="002C32AE"/>
    <w:rsid w:val="002C4DB4"/>
    <w:rsid w:val="002D0AFA"/>
    <w:rsid w:val="002D37F7"/>
    <w:rsid w:val="002D3C06"/>
    <w:rsid w:val="002D3E17"/>
    <w:rsid w:val="002D590A"/>
    <w:rsid w:val="002D6010"/>
    <w:rsid w:val="002D7296"/>
    <w:rsid w:val="002E019A"/>
    <w:rsid w:val="002E21A4"/>
    <w:rsid w:val="002E2745"/>
    <w:rsid w:val="002E3184"/>
    <w:rsid w:val="002E3E53"/>
    <w:rsid w:val="002E410B"/>
    <w:rsid w:val="002E657A"/>
    <w:rsid w:val="002E69E8"/>
    <w:rsid w:val="002E7297"/>
    <w:rsid w:val="002F3B7E"/>
    <w:rsid w:val="002F6499"/>
    <w:rsid w:val="002F6B29"/>
    <w:rsid w:val="003006A3"/>
    <w:rsid w:val="003012EA"/>
    <w:rsid w:val="00302CC6"/>
    <w:rsid w:val="003060B8"/>
    <w:rsid w:val="003072EA"/>
    <w:rsid w:val="003104AD"/>
    <w:rsid w:val="003133DC"/>
    <w:rsid w:val="0031341C"/>
    <w:rsid w:val="00315C61"/>
    <w:rsid w:val="003205E6"/>
    <w:rsid w:val="003236EE"/>
    <w:rsid w:val="0032583A"/>
    <w:rsid w:val="0032734B"/>
    <w:rsid w:val="0033289C"/>
    <w:rsid w:val="003377FA"/>
    <w:rsid w:val="003425AE"/>
    <w:rsid w:val="00344EF2"/>
    <w:rsid w:val="003457D4"/>
    <w:rsid w:val="00346B3E"/>
    <w:rsid w:val="00347AE6"/>
    <w:rsid w:val="00351526"/>
    <w:rsid w:val="00353317"/>
    <w:rsid w:val="003536CC"/>
    <w:rsid w:val="00356E2F"/>
    <w:rsid w:val="00357992"/>
    <w:rsid w:val="0036026F"/>
    <w:rsid w:val="00364925"/>
    <w:rsid w:val="00370DCD"/>
    <w:rsid w:val="00371378"/>
    <w:rsid w:val="00374231"/>
    <w:rsid w:val="003744A7"/>
    <w:rsid w:val="00374B43"/>
    <w:rsid w:val="00374D9E"/>
    <w:rsid w:val="003753E5"/>
    <w:rsid w:val="0037632D"/>
    <w:rsid w:val="00380CA6"/>
    <w:rsid w:val="003818F9"/>
    <w:rsid w:val="00383695"/>
    <w:rsid w:val="00383B53"/>
    <w:rsid w:val="00383BAC"/>
    <w:rsid w:val="00385146"/>
    <w:rsid w:val="00386F43"/>
    <w:rsid w:val="00387B99"/>
    <w:rsid w:val="003942AC"/>
    <w:rsid w:val="003954FC"/>
    <w:rsid w:val="00395975"/>
    <w:rsid w:val="003A03B5"/>
    <w:rsid w:val="003A27F9"/>
    <w:rsid w:val="003A2DF6"/>
    <w:rsid w:val="003A3605"/>
    <w:rsid w:val="003A37AE"/>
    <w:rsid w:val="003A45BD"/>
    <w:rsid w:val="003A64F0"/>
    <w:rsid w:val="003B077F"/>
    <w:rsid w:val="003B0817"/>
    <w:rsid w:val="003B116A"/>
    <w:rsid w:val="003B2526"/>
    <w:rsid w:val="003B5E00"/>
    <w:rsid w:val="003B6CE5"/>
    <w:rsid w:val="003C151B"/>
    <w:rsid w:val="003C3125"/>
    <w:rsid w:val="003C3A6D"/>
    <w:rsid w:val="003C4B4C"/>
    <w:rsid w:val="003C5E0B"/>
    <w:rsid w:val="003C60E8"/>
    <w:rsid w:val="003C64AE"/>
    <w:rsid w:val="003D2478"/>
    <w:rsid w:val="003D2826"/>
    <w:rsid w:val="003D586C"/>
    <w:rsid w:val="003D5A15"/>
    <w:rsid w:val="003D5B0A"/>
    <w:rsid w:val="003D734E"/>
    <w:rsid w:val="003D74ED"/>
    <w:rsid w:val="003E3D75"/>
    <w:rsid w:val="003E56E5"/>
    <w:rsid w:val="003E593C"/>
    <w:rsid w:val="003F1429"/>
    <w:rsid w:val="003F18A2"/>
    <w:rsid w:val="003F1E07"/>
    <w:rsid w:val="003F3B15"/>
    <w:rsid w:val="003F624C"/>
    <w:rsid w:val="00400318"/>
    <w:rsid w:val="0040226D"/>
    <w:rsid w:val="0040319F"/>
    <w:rsid w:val="004039A4"/>
    <w:rsid w:val="00405087"/>
    <w:rsid w:val="004105BF"/>
    <w:rsid w:val="004107D1"/>
    <w:rsid w:val="004110F7"/>
    <w:rsid w:val="00411947"/>
    <w:rsid w:val="00412382"/>
    <w:rsid w:val="004123DA"/>
    <w:rsid w:val="004137D3"/>
    <w:rsid w:val="0041457E"/>
    <w:rsid w:val="0041509B"/>
    <w:rsid w:val="00415FEB"/>
    <w:rsid w:val="004168E1"/>
    <w:rsid w:val="004236B1"/>
    <w:rsid w:val="00423E18"/>
    <w:rsid w:val="00424A41"/>
    <w:rsid w:val="004264C1"/>
    <w:rsid w:val="0042784D"/>
    <w:rsid w:val="00430296"/>
    <w:rsid w:val="004306D9"/>
    <w:rsid w:val="004310BC"/>
    <w:rsid w:val="004329B8"/>
    <w:rsid w:val="00437287"/>
    <w:rsid w:val="004400A9"/>
    <w:rsid w:val="00442114"/>
    <w:rsid w:val="004457C5"/>
    <w:rsid w:val="00446A48"/>
    <w:rsid w:val="0045064A"/>
    <w:rsid w:val="00453B10"/>
    <w:rsid w:val="004541AE"/>
    <w:rsid w:val="00454233"/>
    <w:rsid w:val="004570D4"/>
    <w:rsid w:val="004576E6"/>
    <w:rsid w:val="004610CE"/>
    <w:rsid w:val="004635C8"/>
    <w:rsid w:val="00463AFE"/>
    <w:rsid w:val="004644B0"/>
    <w:rsid w:val="00467B81"/>
    <w:rsid w:val="00472783"/>
    <w:rsid w:val="00473335"/>
    <w:rsid w:val="00473B73"/>
    <w:rsid w:val="00474711"/>
    <w:rsid w:val="0047626C"/>
    <w:rsid w:val="004779C6"/>
    <w:rsid w:val="00477D4D"/>
    <w:rsid w:val="004802F7"/>
    <w:rsid w:val="00481ADE"/>
    <w:rsid w:val="00483A92"/>
    <w:rsid w:val="0048474D"/>
    <w:rsid w:val="00485586"/>
    <w:rsid w:val="00485D2D"/>
    <w:rsid w:val="004924A1"/>
    <w:rsid w:val="004A09C1"/>
    <w:rsid w:val="004A1BA7"/>
    <w:rsid w:val="004A1C5C"/>
    <w:rsid w:val="004A4241"/>
    <w:rsid w:val="004A484C"/>
    <w:rsid w:val="004A72ED"/>
    <w:rsid w:val="004A7827"/>
    <w:rsid w:val="004B165A"/>
    <w:rsid w:val="004B3E09"/>
    <w:rsid w:val="004B480A"/>
    <w:rsid w:val="004B6DDA"/>
    <w:rsid w:val="004B75A7"/>
    <w:rsid w:val="004C4F44"/>
    <w:rsid w:val="004D04DE"/>
    <w:rsid w:val="004D0FC2"/>
    <w:rsid w:val="004D228B"/>
    <w:rsid w:val="004D3327"/>
    <w:rsid w:val="004D366B"/>
    <w:rsid w:val="004E06B3"/>
    <w:rsid w:val="004E16F6"/>
    <w:rsid w:val="004E3738"/>
    <w:rsid w:val="004E423A"/>
    <w:rsid w:val="004E431A"/>
    <w:rsid w:val="004E7566"/>
    <w:rsid w:val="004F0A02"/>
    <w:rsid w:val="004F1313"/>
    <w:rsid w:val="004F323E"/>
    <w:rsid w:val="004F44EA"/>
    <w:rsid w:val="004F5C2C"/>
    <w:rsid w:val="004F6942"/>
    <w:rsid w:val="004F6EA5"/>
    <w:rsid w:val="004F7477"/>
    <w:rsid w:val="004F78B5"/>
    <w:rsid w:val="00500836"/>
    <w:rsid w:val="0050448D"/>
    <w:rsid w:val="00505920"/>
    <w:rsid w:val="00513201"/>
    <w:rsid w:val="005132DC"/>
    <w:rsid w:val="005144EC"/>
    <w:rsid w:val="005218B8"/>
    <w:rsid w:val="00521E97"/>
    <w:rsid w:val="00524802"/>
    <w:rsid w:val="00524D2A"/>
    <w:rsid w:val="00525B0D"/>
    <w:rsid w:val="00526828"/>
    <w:rsid w:val="0052793D"/>
    <w:rsid w:val="00531BB4"/>
    <w:rsid w:val="00531C98"/>
    <w:rsid w:val="00531E00"/>
    <w:rsid w:val="00540B4A"/>
    <w:rsid w:val="00541803"/>
    <w:rsid w:val="005421B4"/>
    <w:rsid w:val="00543824"/>
    <w:rsid w:val="00544D51"/>
    <w:rsid w:val="00545BCA"/>
    <w:rsid w:val="00551D9B"/>
    <w:rsid w:val="00552EBA"/>
    <w:rsid w:val="0055689B"/>
    <w:rsid w:val="005607FF"/>
    <w:rsid w:val="005616D4"/>
    <w:rsid w:val="0056208D"/>
    <w:rsid w:val="005634D1"/>
    <w:rsid w:val="00564582"/>
    <w:rsid w:val="00564D7D"/>
    <w:rsid w:val="00570999"/>
    <w:rsid w:val="00572710"/>
    <w:rsid w:val="00573205"/>
    <w:rsid w:val="00573668"/>
    <w:rsid w:val="00575409"/>
    <w:rsid w:val="005800FE"/>
    <w:rsid w:val="00581F72"/>
    <w:rsid w:val="00582799"/>
    <w:rsid w:val="00583BF3"/>
    <w:rsid w:val="00586A74"/>
    <w:rsid w:val="00591637"/>
    <w:rsid w:val="00592491"/>
    <w:rsid w:val="005A21F7"/>
    <w:rsid w:val="005A50DE"/>
    <w:rsid w:val="005A5A54"/>
    <w:rsid w:val="005A5D55"/>
    <w:rsid w:val="005A6E96"/>
    <w:rsid w:val="005A6EB2"/>
    <w:rsid w:val="005A75D0"/>
    <w:rsid w:val="005B20CF"/>
    <w:rsid w:val="005B3B2C"/>
    <w:rsid w:val="005C0205"/>
    <w:rsid w:val="005C080B"/>
    <w:rsid w:val="005C62DE"/>
    <w:rsid w:val="005C6779"/>
    <w:rsid w:val="005C6BA2"/>
    <w:rsid w:val="005D0DFC"/>
    <w:rsid w:val="005D3938"/>
    <w:rsid w:val="005D4A83"/>
    <w:rsid w:val="005D4FA8"/>
    <w:rsid w:val="005D53FA"/>
    <w:rsid w:val="005D59A7"/>
    <w:rsid w:val="005D6E33"/>
    <w:rsid w:val="005E0106"/>
    <w:rsid w:val="005E0560"/>
    <w:rsid w:val="005E177A"/>
    <w:rsid w:val="005E1B71"/>
    <w:rsid w:val="005E55F2"/>
    <w:rsid w:val="005F3166"/>
    <w:rsid w:val="005F54CA"/>
    <w:rsid w:val="005F55C0"/>
    <w:rsid w:val="005F5B7A"/>
    <w:rsid w:val="005F7B1C"/>
    <w:rsid w:val="00600822"/>
    <w:rsid w:val="00601719"/>
    <w:rsid w:val="0060217C"/>
    <w:rsid w:val="00602CBD"/>
    <w:rsid w:val="0060304E"/>
    <w:rsid w:val="006032A3"/>
    <w:rsid w:val="00603BB9"/>
    <w:rsid w:val="00606421"/>
    <w:rsid w:val="00611523"/>
    <w:rsid w:val="00611D57"/>
    <w:rsid w:val="00611FA8"/>
    <w:rsid w:val="006129F7"/>
    <w:rsid w:val="00612DDE"/>
    <w:rsid w:val="00613FF2"/>
    <w:rsid w:val="00614D87"/>
    <w:rsid w:val="00620916"/>
    <w:rsid w:val="0062163C"/>
    <w:rsid w:val="00625835"/>
    <w:rsid w:val="00632DB9"/>
    <w:rsid w:val="006340FF"/>
    <w:rsid w:val="00635703"/>
    <w:rsid w:val="00635E83"/>
    <w:rsid w:val="006377B5"/>
    <w:rsid w:val="00643F1A"/>
    <w:rsid w:val="00645FDB"/>
    <w:rsid w:val="0064665A"/>
    <w:rsid w:val="0065042A"/>
    <w:rsid w:val="006513CF"/>
    <w:rsid w:val="00655901"/>
    <w:rsid w:val="00660005"/>
    <w:rsid w:val="00661FB2"/>
    <w:rsid w:val="006654F0"/>
    <w:rsid w:val="006656CB"/>
    <w:rsid w:val="00665D3C"/>
    <w:rsid w:val="00676273"/>
    <w:rsid w:val="0067694C"/>
    <w:rsid w:val="00681F65"/>
    <w:rsid w:val="006848A1"/>
    <w:rsid w:val="00685AD8"/>
    <w:rsid w:val="006900DC"/>
    <w:rsid w:val="00690D06"/>
    <w:rsid w:val="00691079"/>
    <w:rsid w:val="00691C99"/>
    <w:rsid w:val="00692BA5"/>
    <w:rsid w:val="00693876"/>
    <w:rsid w:val="00695012"/>
    <w:rsid w:val="00695C4E"/>
    <w:rsid w:val="00696B9E"/>
    <w:rsid w:val="006A0C27"/>
    <w:rsid w:val="006A321C"/>
    <w:rsid w:val="006A3537"/>
    <w:rsid w:val="006A3F15"/>
    <w:rsid w:val="006A6B84"/>
    <w:rsid w:val="006A77BE"/>
    <w:rsid w:val="006A7C21"/>
    <w:rsid w:val="006B0096"/>
    <w:rsid w:val="006B057E"/>
    <w:rsid w:val="006B4D95"/>
    <w:rsid w:val="006B53F6"/>
    <w:rsid w:val="006B5EFD"/>
    <w:rsid w:val="006B6476"/>
    <w:rsid w:val="006C1191"/>
    <w:rsid w:val="006C32D1"/>
    <w:rsid w:val="006C3A98"/>
    <w:rsid w:val="006C50DE"/>
    <w:rsid w:val="006C516D"/>
    <w:rsid w:val="006C5307"/>
    <w:rsid w:val="006C5464"/>
    <w:rsid w:val="006C74BC"/>
    <w:rsid w:val="006D0089"/>
    <w:rsid w:val="006D047D"/>
    <w:rsid w:val="006D066C"/>
    <w:rsid w:val="006D3735"/>
    <w:rsid w:val="006D41B7"/>
    <w:rsid w:val="006D4B3B"/>
    <w:rsid w:val="006D4E09"/>
    <w:rsid w:val="006D4EC1"/>
    <w:rsid w:val="006D515E"/>
    <w:rsid w:val="006D53A3"/>
    <w:rsid w:val="006D5639"/>
    <w:rsid w:val="006E7B44"/>
    <w:rsid w:val="006F11B5"/>
    <w:rsid w:val="006F23CD"/>
    <w:rsid w:val="006F2D1D"/>
    <w:rsid w:val="006F3544"/>
    <w:rsid w:val="006F3ADC"/>
    <w:rsid w:val="006F5285"/>
    <w:rsid w:val="006F53DF"/>
    <w:rsid w:val="006F64F8"/>
    <w:rsid w:val="006F70F1"/>
    <w:rsid w:val="00700283"/>
    <w:rsid w:val="007026D4"/>
    <w:rsid w:val="007067EC"/>
    <w:rsid w:val="00710D0E"/>
    <w:rsid w:val="00711595"/>
    <w:rsid w:val="00714368"/>
    <w:rsid w:val="0071697E"/>
    <w:rsid w:val="00720299"/>
    <w:rsid w:val="00721BB6"/>
    <w:rsid w:val="00723E12"/>
    <w:rsid w:val="007261B3"/>
    <w:rsid w:val="00727148"/>
    <w:rsid w:val="00727557"/>
    <w:rsid w:val="00727B92"/>
    <w:rsid w:val="00734D35"/>
    <w:rsid w:val="007353C9"/>
    <w:rsid w:val="00735B65"/>
    <w:rsid w:val="0073623C"/>
    <w:rsid w:val="00736C70"/>
    <w:rsid w:val="00737302"/>
    <w:rsid w:val="00740AEC"/>
    <w:rsid w:val="00742307"/>
    <w:rsid w:val="007428D6"/>
    <w:rsid w:val="00743CC2"/>
    <w:rsid w:val="00745169"/>
    <w:rsid w:val="00746FB4"/>
    <w:rsid w:val="00751030"/>
    <w:rsid w:val="00751E17"/>
    <w:rsid w:val="00753089"/>
    <w:rsid w:val="00756AA3"/>
    <w:rsid w:val="0075702B"/>
    <w:rsid w:val="0076081F"/>
    <w:rsid w:val="0076155D"/>
    <w:rsid w:val="00763438"/>
    <w:rsid w:val="00763578"/>
    <w:rsid w:val="00764079"/>
    <w:rsid w:val="00765E99"/>
    <w:rsid w:val="00766500"/>
    <w:rsid w:val="00766EBD"/>
    <w:rsid w:val="007729A9"/>
    <w:rsid w:val="00773830"/>
    <w:rsid w:val="00773D40"/>
    <w:rsid w:val="007742A7"/>
    <w:rsid w:val="00775057"/>
    <w:rsid w:val="00775430"/>
    <w:rsid w:val="00777B20"/>
    <w:rsid w:val="007802A4"/>
    <w:rsid w:val="00780511"/>
    <w:rsid w:val="007809A2"/>
    <w:rsid w:val="007817AF"/>
    <w:rsid w:val="00785045"/>
    <w:rsid w:val="00786066"/>
    <w:rsid w:val="007872D3"/>
    <w:rsid w:val="007877BE"/>
    <w:rsid w:val="00790DA6"/>
    <w:rsid w:val="00796877"/>
    <w:rsid w:val="00796CAC"/>
    <w:rsid w:val="00796CFC"/>
    <w:rsid w:val="0079767A"/>
    <w:rsid w:val="007978E7"/>
    <w:rsid w:val="007A11F9"/>
    <w:rsid w:val="007A23E2"/>
    <w:rsid w:val="007A283B"/>
    <w:rsid w:val="007A626A"/>
    <w:rsid w:val="007A6A06"/>
    <w:rsid w:val="007B0D04"/>
    <w:rsid w:val="007B121C"/>
    <w:rsid w:val="007B15B8"/>
    <w:rsid w:val="007B23A4"/>
    <w:rsid w:val="007B282E"/>
    <w:rsid w:val="007B2B2F"/>
    <w:rsid w:val="007B3B80"/>
    <w:rsid w:val="007B7056"/>
    <w:rsid w:val="007B7343"/>
    <w:rsid w:val="007C2ADF"/>
    <w:rsid w:val="007C2E5C"/>
    <w:rsid w:val="007C35C7"/>
    <w:rsid w:val="007C3E5C"/>
    <w:rsid w:val="007C5923"/>
    <w:rsid w:val="007D1954"/>
    <w:rsid w:val="007D2C17"/>
    <w:rsid w:val="007D3DE9"/>
    <w:rsid w:val="007D43A1"/>
    <w:rsid w:val="007D6D08"/>
    <w:rsid w:val="007E0E8B"/>
    <w:rsid w:val="007F0F97"/>
    <w:rsid w:val="007F4F4B"/>
    <w:rsid w:val="007F7AC2"/>
    <w:rsid w:val="0080317E"/>
    <w:rsid w:val="008050CA"/>
    <w:rsid w:val="0080701D"/>
    <w:rsid w:val="00807A1B"/>
    <w:rsid w:val="00810044"/>
    <w:rsid w:val="008107E3"/>
    <w:rsid w:val="00810B2B"/>
    <w:rsid w:val="00812C8B"/>
    <w:rsid w:val="008150BC"/>
    <w:rsid w:val="008162A7"/>
    <w:rsid w:val="00822C30"/>
    <w:rsid w:val="0082411B"/>
    <w:rsid w:val="00824B2D"/>
    <w:rsid w:val="00824D4F"/>
    <w:rsid w:val="00826C45"/>
    <w:rsid w:val="0082749F"/>
    <w:rsid w:val="008334B2"/>
    <w:rsid w:val="008401AD"/>
    <w:rsid w:val="0084070E"/>
    <w:rsid w:val="00840BEF"/>
    <w:rsid w:val="008415DC"/>
    <w:rsid w:val="00841AA8"/>
    <w:rsid w:val="00841AB4"/>
    <w:rsid w:val="0084294C"/>
    <w:rsid w:val="00842CB0"/>
    <w:rsid w:val="008454AE"/>
    <w:rsid w:val="0084742B"/>
    <w:rsid w:val="00847F32"/>
    <w:rsid w:val="0085446F"/>
    <w:rsid w:val="00860EDC"/>
    <w:rsid w:val="0086204D"/>
    <w:rsid w:val="00863073"/>
    <w:rsid w:val="0086386E"/>
    <w:rsid w:val="00866089"/>
    <w:rsid w:val="00867169"/>
    <w:rsid w:val="008671C1"/>
    <w:rsid w:val="00871293"/>
    <w:rsid w:val="008718B6"/>
    <w:rsid w:val="00876576"/>
    <w:rsid w:val="00877AAF"/>
    <w:rsid w:val="008823CB"/>
    <w:rsid w:val="00882E28"/>
    <w:rsid w:val="00883F4F"/>
    <w:rsid w:val="00885C5B"/>
    <w:rsid w:val="008903CC"/>
    <w:rsid w:val="00892202"/>
    <w:rsid w:val="00892A8D"/>
    <w:rsid w:val="008939D5"/>
    <w:rsid w:val="008944CD"/>
    <w:rsid w:val="00896B01"/>
    <w:rsid w:val="008979E4"/>
    <w:rsid w:val="008A18B2"/>
    <w:rsid w:val="008A4847"/>
    <w:rsid w:val="008A4D69"/>
    <w:rsid w:val="008A4F1F"/>
    <w:rsid w:val="008A5A97"/>
    <w:rsid w:val="008A6324"/>
    <w:rsid w:val="008A6634"/>
    <w:rsid w:val="008A6815"/>
    <w:rsid w:val="008A6CA9"/>
    <w:rsid w:val="008A709A"/>
    <w:rsid w:val="008A71E7"/>
    <w:rsid w:val="008B020C"/>
    <w:rsid w:val="008B22E3"/>
    <w:rsid w:val="008B2B67"/>
    <w:rsid w:val="008B6D49"/>
    <w:rsid w:val="008B7167"/>
    <w:rsid w:val="008B71C1"/>
    <w:rsid w:val="008C0A3E"/>
    <w:rsid w:val="008C0FDF"/>
    <w:rsid w:val="008C10BF"/>
    <w:rsid w:val="008C2EE9"/>
    <w:rsid w:val="008C2F4B"/>
    <w:rsid w:val="008C3CB8"/>
    <w:rsid w:val="008C3EFC"/>
    <w:rsid w:val="008C520A"/>
    <w:rsid w:val="008D0F47"/>
    <w:rsid w:val="008D2E42"/>
    <w:rsid w:val="008D5212"/>
    <w:rsid w:val="008E405F"/>
    <w:rsid w:val="008E7CB9"/>
    <w:rsid w:val="008E7F33"/>
    <w:rsid w:val="008F10FE"/>
    <w:rsid w:val="008F2DAF"/>
    <w:rsid w:val="008F55A4"/>
    <w:rsid w:val="008F6D10"/>
    <w:rsid w:val="008F7BF0"/>
    <w:rsid w:val="00900F33"/>
    <w:rsid w:val="0090509E"/>
    <w:rsid w:val="009058AD"/>
    <w:rsid w:val="009067CE"/>
    <w:rsid w:val="00906D79"/>
    <w:rsid w:val="00911DBA"/>
    <w:rsid w:val="009137C6"/>
    <w:rsid w:val="00914C1E"/>
    <w:rsid w:val="00915E2A"/>
    <w:rsid w:val="009208E6"/>
    <w:rsid w:val="009210A7"/>
    <w:rsid w:val="00922009"/>
    <w:rsid w:val="0092326A"/>
    <w:rsid w:val="00923C17"/>
    <w:rsid w:val="009255B0"/>
    <w:rsid w:val="00925E1F"/>
    <w:rsid w:val="00927D7F"/>
    <w:rsid w:val="009328BF"/>
    <w:rsid w:val="00932CA0"/>
    <w:rsid w:val="00933A0C"/>
    <w:rsid w:val="0093783A"/>
    <w:rsid w:val="00940CAE"/>
    <w:rsid w:val="0094167C"/>
    <w:rsid w:val="009416DD"/>
    <w:rsid w:val="00942D26"/>
    <w:rsid w:val="00942F2C"/>
    <w:rsid w:val="00951D7E"/>
    <w:rsid w:val="00953B17"/>
    <w:rsid w:val="0095437F"/>
    <w:rsid w:val="00955C7A"/>
    <w:rsid w:val="00956151"/>
    <w:rsid w:val="00960402"/>
    <w:rsid w:val="0096057A"/>
    <w:rsid w:val="00961591"/>
    <w:rsid w:val="0096295F"/>
    <w:rsid w:val="009638B5"/>
    <w:rsid w:val="00964895"/>
    <w:rsid w:val="00964F04"/>
    <w:rsid w:val="00966678"/>
    <w:rsid w:val="009669A6"/>
    <w:rsid w:val="00967B47"/>
    <w:rsid w:val="0097148E"/>
    <w:rsid w:val="00973929"/>
    <w:rsid w:val="00973B66"/>
    <w:rsid w:val="009748B3"/>
    <w:rsid w:val="00974E0F"/>
    <w:rsid w:val="00975D77"/>
    <w:rsid w:val="0097690C"/>
    <w:rsid w:val="00976B6C"/>
    <w:rsid w:val="00981729"/>
    <w:rsid w:val="0098223D"/>
    <w:rsid w:val="00985699"/>
    <w:rsid w:val="0098687B"/>
    <w:rsid w:val="00986CD6"/>
    <w:rsid w:val="00991529"/>
    <w:rsid w:val="0099384A"/>
    <w:rsid w:val="00995305"/>
    <w:rsid w:val="00995948"/>
    <w:rsid w:val="009A4102"/>
    <w:rsid w:val="009A4333"/>
    <w:rsid w:val="009A76CF"/>
    <w:rsid w:val="009B1C93"/>
    <w:rsid w:val="009B252F"/>
    <w:rsid w:val="009B4F6A"/>
    <w:rsid w:val="009B63F9"/>
    <w:rsid w:val="009B6D21"/>
    <w:rsid w:val="009B7711"/>
    <w:rsid w:val="009C00AB"/>
    <w:rsid w:val="009C10D7"/>
    <w:rsid w:val="009C2E8F"/>
    <w:rsid w:val="009C4801"/>
    <w:rsid w:val="009C5C54"/>
    <w:rsid w:val="009C7D04"/>
    <w:rsid w:val="009D433C"/>
    <w:rsid w:val="009D76F8"/>
    <w:rsid w:val="009D7D26"/>
    <w:rsid w:val="009E1831"/>
    <w:rsid w:val="009E238D"/>
    <w:rsid w:val="009E34FD"/>
    <w:rsid w:val="009E5BBC"/>
    <w:rsid w:val="009F2CB9"/>
    <w:rsid w:val="009F2E8A"/>
    <w:rsid w:val="009F4214"/>
    <w:rsid w:val="009F4B97"/>
    <w:rsid w:val="00A02622"/>
    <w:rsid w:val="00A02BE7"/>
    <w:rsid w:val="00A04E18"/>
    <w:rsid w:val="00A063D9"/>
    <w:rsid w:val="00A069FB"/>
    <w:rsid w:val="00A06D40"/>
    <w:rsid w:val="00A077A2"/>
    <w:rsid w:val="00A11B75"/>
    <w:rsid w:val="00A15C3B"/>
    <w:rsid w:val="00A16102"/>
    <w:rsid w:val="00A20220"/>
    <w:rsid w:val="00A219B0"/>
    <w:rsid w:val="00A238E0"/>
    <w:rsid w:val="00A24EDF"/>
    <w:rsid w:val="00A255DE"/>
    <w:rsid w:val="00A25C80"/>
    <w:rsid w:val="00A25DCB"/>
    <w:rsid w:val="00A30235"/>
    <w:rsid w:val="00A3068C"/>
    <w:rsid w:val="00A335B9"/>
    <w:rsid w:val="00A337C4"/>
    <w:rsid w:val="00A350A9"/>
    <w:rsid w:val="00A36C09"/>
    <w:rsid w:val="00A42C31"/>
    <w:rsid w:val="00A455AF"/>
    <w:rsid w:val="00A45675"/>
    <w:rsid w:val="00A51A54"/>
    <w:rsid w:val="00A524F4"/>
    <w:rsid w:val="00A52A7C"/>
    <w:rsid w:val="00A53B72"/>
    <w:rsid w:val="00A57E51"/>
    <w:rsid w:val="00A607C5"/>
    <w:rsid w:val="00A649E8"/>
    <w:rsid w:val="00A6591E"/>
    <w:rsid w:val="00A714C9"/>
    <w:rsid w:val="00A72015"/>
    <w:rsid w:val="00A73A00"/>
    <w:rsid w:val="00A73E12"/>
    <w:rsid w:val="00A7496F"/>
    <w:rsid w:val="00A80D32"/>
    <w:rsid w:val="00A81B09"/>
    <w:rsid w:val="00A83CFB"/>
    <w:rsid w:val="00A870C8"/>
    <w:rsid w:val="00A90474"/>
    <w:rsid w:val="00A9181C"/>
    <w:rsid w:val="00A96188"/>
    <w:rsid w:val="00AA07F2"/>
    <w:rsid w:val="00AA1981"/>
    <w:rsid w:val="00AA3746"/>
    <w:rsid w:val="00AA3A5C"/>
    <w:rsid w:val="00AA48D4"/>
    <w:rsid w:val="00AA4D49"/>
    <w:rsid w:val="00AA5915"/>
    <w:rsid w:val="00AA5B05"/>
    <w:rsid w:val="00AA63A9"/>
    <w:rsid w:val="00AA71E5"/>
    <w:rsid w:val="00AB01E2"/>
    <w:rsid w:val="00AB1A50"/>
    <w:rsid w:val="00AB2375"/>
    <w:rsid w:val="00AB27C6"/>
    <w:rsid w:val="00AB2D04"/>
    <w:rsid w:val="00AB304A"/>
    <w:rsid w:val="00AB3BCE"/>
    <w:rsid w:val="00AB45A2"/>
    <w:rsid w:val="00AB7829"/>
    <w:rsid w:val="00AC196C"/>
    <w:rsid w:val="00AC1C7B"/>
    <w:rsid w:val="00AC2F15"/>
    <w:rsid w:val="00AC3951"/>
    <w:rsid w:val="00AC3D31"/>
    <w:rsid w:val="00AC5D52"/>
    <w:rsid w:val="00AC61EF"/>
    <w:rsid w:val="00AD08B4"/>
    <w:rsid w:val="00AD2494"/>
    <w:rsid w:val="00AD3FE3"/>
    <w:rsid w:val="00AD5AD1"/>
    <w:rsid w:val="00AD6755"/>
    <w:rsid w:val="00AE0312"/>
    <w:rsid w:val="00AE5C7F"/>
    <w:rsid w:val="00AE69F0"/>
    <w:rsid w:val="00AF0ECF"/>
    <w:rsid w:val="00AF548F"/>
    <w:rsid w:val="00B00663"/>
    <w:rsid w:val="00B0191B"/>
    <w:rsid w:val="00B02EC3"/>
    <w:rsid w:val="00B02F0E"/>
    <w:rsid w:val="00B0516D"/>
    <w:rsid w:val="00B05350"/>
    <w:rsid w:val="00B07322"/>
    <w:rsid w:val="00B07505"/>
    <w:rsid w:val="00B121DA"/>
    <w:rsid w:val="00B13BDD"/>
    <w:rsid w:val="00B25007"/>
    <w:rsid w:val="00B27B05"/>
    <w:rsid w:val="00B31B88"/>
    <w:rsid w:val="00B33923"/>
    <w:rsid w:val="00B3403F"/>
    <w:rsid w:val="00B34423"/>
    <w:rsid w:val="00B36250"/>
    <w:rsid w:val="00B37119"/>
    <w:rsid w:val="00B41C61"/>
    <w:rsid w:val="00B434B2"/>
    <w:rsid w:val="00B436FE"/>
    <w:rsid w:val="00B447B1"/>
    <w:rsid w:val="00B455E4"/>
    <w:rsid w:val="00B45B01"/>
    <w:rsid w:val="00B45D59"/>
    <w:rsid w:val="00B47841"/>
    <w:rsid w:val="00B505D1"/>
    <w:rsid w:val="00B5149B"/>
    <w:rsid w:val="00B5225D"/>
    <w:rsid w:val="00B53377"/>
    <w:rsid w:val="00B533F7"/>
    <w:rsid w:val="00B54ABF"/>
    <w:rsid w:val="00B552A8"/>
    <w:rsid w:val="00B57B04"/>
    <w:rsid w:val="00B60129"/>
    <w:rsid w:val="00B61CE5"/>
    <w:rsid w:val="00B61D53"/>
    <w:rsid w:val="00B6229F"/>
    <w:rsid w:val="00B67119"/>
    <w:rsid w:val="00B72692"/>
    <w:rsid w:val="00B732A3"/>
    <w:rsid w:val="00B76347"/>
    <w:rsid w:val="00B765C1"/>
    <w:rsid w:val="00B82AAE"/>
    <w:rsid w:val="00B834F9"/>
    <w:rsid w:val="00B866EE"/>
    <w:rsid w:val="00B906E1"/>
    <w:rsid w:val="00B941E1"/>
    <w:rsid w:val="00B95DC5"/>
    <w:rsid w:val="00B9654F"/>
    <w:rsid w:val="00B9773D"/>
    <w:rsid w:val="00BA26A5"/>
    <w:rsid w:val="00BA3EFD"/>
    <w:rsid w:val="00BA458E"/>
    <w:rsid w:val="00BB02FA"/>
    <w:rsid w:val="00BB39B9"/>
    <w:rsid w:val="00BB4654"/>
    <w:rsid w:val="00BB5113"/>
    <w:rsid w:val="00BB6887"/>
    <w:rsid w:val="00BC21AA"/>
    <w:rsid w:val="00BC2D5E"/>
    <w:rsid w:val="00BC379B"/>
    <w:rsid w:val="00BC4F98"/>
    <w:rsid w:val="00BD1B74"/>
    <w:rsid w:val="00BD2D9E"/>
    <w:rsid w:val="00BE2464"/>
    <w:rsid w:val="00BE3B41"/>
    <w:rsid w:val="00BE506B"/>
    <w:rsid w:val="00BE5D70"/>
    <w:rsid w:val="00BE7110"/>
    <w:rsid w:val="00BE75C7"/>
    <w:rsid w:val="00BF180B"/>
    <w:rsid w:val="00BF1CC2"/>
    <w:rsid w:val="00BF53A8"/>
    <w:rsid w:val="00C006C9"/>
    <w:rsid w:val="00C026E9"/>
    <w:rsid w:val="00C02A59"/>
    <w:rsid w:val="00C03013"/>
    <w:rsid w:val="00C03839"/>
    <w:rsid w:val="00C03FC4"/>
    <w:rsid w:val="00C045A2"/>
    <w:rsid w:val="00C05CD5"/>
    <w:rsid w:val="00C05D4B"/>
    <w:rsid w:val="00C061F5"/>
    <w:rsid w:val="00C0677F"/>
    <w:rsid w:val="00C06886"/>
    <w:rsid w:val="00C079BE"/>
    <w:rsid w:val="00C07F94"/>
    <w:rsid w:val="00C11C4E"/>
    <w:rsid w:val="00C11EE8"/>
    <w:rsid w:val="00C13151"/>
    <w:rsid w:val="00C13814"/>
    <w:rsid w:val="00C13D3A"/>
    <w:rsid w:val="00C17DE8"/>
    <w:rsid w:val="00C17FCD"/>
    <w:rsid w:val="00C23DFB"/>
    <w:rsid w:val="00C2437E"/>
    <w:rsid w:val="00C256AA"/>
    <w:rsid w:val="00C268E5"/>
    <w:rsid w:val="00C26CBB"/>
    <w:rsid w:val="00C303F5"/>
    <w:rsid w:val="00C36210"/>
    <w:rsid w:val="00C43A09"/>
    <w:rsid w:val="00C44555"/>
    <w:rsid w:val="00C4532C"/>
    <w:rsid w:val="00C477BF"/>
    <w:rsid w:val="00C521D4"/>
    <w:rsid w:val="00C5300E"/>
    <w:rsid w:val="00C56832"/>
    <w:rsid w:val="00C631AD"/>
    <w:rsid w:val="00C64B13"/>
    <w:rsid w:val="00C67218"/>
    <w:rsid w:val="00C71D74"/>
    <w:rsid w:val="00C72327"/>
    <w:rsid w:val="00C74033"/>
    <w:rsid w:val="00C75897"/>
    <w:rsid w:val="00C75DDF"/>
    <w:rsid w:val="00C75F76"/>
    <w:rsid w:val="00C76DB1"/>
    <w:rsid w:val="00C77420"/>
    <w:rsid w:val="00C80671"/>
    <w:rsid w:val="00C83EB0"/>
    <w:rsid w:val="00C84F1C"/>
    <w:rsid w:val="00C856EF"/>
    <w:rsid w:val="00C86188"/>
    <w:rsid w:val="00C86980"/>
    <w:rsid w:val="00C8712B"/>
    <w:rsid w:val="00C913C8"/>
    <w:rsid w:val="00C952D3"/>
    <w:rsid w:val="00C97388"/>
    <w:rsid w:val="00CA1C36"/>
    <w:rsid w:val="00CA1CA2"/>
    <w:rsid w:val="00CA242C"/>
    <w:rsid w:val="00CA2EA5"/>
    <w:rsid w:val="00CA431D"/>
    <w:rsid w:val="00CB0AA4"/>
    <w:rsid w:val="00CB0CDE"/>
    <w:rsid w:val="00CB158C"/>
    <w:rsid w:val="00CB23A4"/>
    <w:rsid w:val="00CB5986"/>
    <w:rsid w:val="00CB59D8"/>
    <w:rsid w:val="00CC0B16"/>
    <w:rsid w:val="00CC3AFA"/>
    <w:rsid w:val="00CC738F"/>
    <w:rsid w:val="00CD17C1"/>
    <w:rsid w:val="00CD1FC0"/>
    <w:rsid w:val="00CD36F4"/>
    <w:rsid w:val="00CD6687"/>
    <w:rsid w:val="00CD73B1"/>
    <w:rsid w:val="00CD7FC7"/>
    <w:rsid w:val="00CE067B"/>
    <w:rsid w:val="00CE0B98"/>
    <w:rsid w:val="00CE1C9B"/>
    <w:rsid w:val="00CE20F5"/>
    <w:rsid w:val="00CE3F48"/>
    <w:rsid w:val="00CE52E6"/>
    <w:rsid w:val="00CE59FF"/>
    <w:rsid w:val="00CE7420"/>
    <w:rsid w:val="00CF2613"/>
    <w:rsid w:val="00CF2F73"/>
    <w:rsid w:val="00CF4AA1"/>
    <w:rsid w:val="00CF6085"/>
    <w:rsid w:val="00CF6661"/>
    <w:rsid w:val="00CF7077"/>
    <w:rsid w:val="00D00DD9"/>
    <w:rsid w:val="00D0126D"/>
    <w:rsid w:val="00D023BD"/>
    <w:rsid w:val="00D04781"/>
    <w:rsid w:val="00D04A7F"/>
    <w:rsid w:val="00D07750"/>
    <w:rsid w:val="00D07806"/>
    <w:rsid w:val="00D10B81"/>
    <w:rsid w:val="00D11099"/>
    <w:rsid w:val="00D151CF"/>
    <w:rsid w:val="00D170E0"/>
    <w:rsid w:val="00D17B17"/>
    <w:rsid w:val="00D17FED"/>
    <w:rsid w:val="00D20052"/>
    <w:rsid w:val="00D22B01"/>
    <w:rsid w:val="00D248A8"/>
    <w:rsid w:val="00D27460"/>
    <w:rsid w:val="00D27A02"/>
    <w:rsid w:val="00D3250B"/>
    <w:rsid w:val="00D3356D"/>
    <w:rsid w:val="00D33CBA"/>
    <w:rsid w:val="00D3496D"/>
    <w:rsid w:val="00D35A09"/>
    <w:rsid w:val="00D360E4"/>
    <w:rsid w:val="00D377F8"/>
    <w:rsid w:val="00D41A6E"/>
    <w:rsid w:val="00D44D95"/>
    <w:rsid w:val="00D46C4E"/>
    <w:rsid w:val="00D46C9D"/>
    <w:rsid w:val="00D46F96"/>
    <w:rsid w:val="00D5082B"/>
    <w:rsid w:val="00D522D7"/>
    <w:rsid w:val="00D57B15"/>
    <w:rsid w:val="00D606A5"/>
    <w:rsid w:val="00D61557"/>
    <w:rsid w:val="00D618ED"/>
    <w:rsid w:val="00D63BB5"/>
    <w:rsid w:val="00D71257"/>
    <w:rsid w:val="00D726F0"/>
    <w:rsid w:val="00D743C1"/>
    <w:rsid w:val="00D7511C"/>
    <w:rsid w:val="00D756CA"/>
    <w:rsid w:val="00D770F5"/>
    <w:rsid w:val="00D800D3"/>
    <w:rsid w:val="00D8261A"/>
    <w:rsid w:val="00D85D0D"/>
    <w:rsid w:val="00D860DF"/>
    <w:rsid w:val="00D86E3D"/>
    <w:rsid w:val="00D90E18"/>
    <w:rsid w:val="00D911E0"/>
    <w:rsid w:val="00D9604B"/>
    <w:rsid w:val="00DA047D"/>
    <w:rsid w:val="00DA06DD"/>
    <w:rsid w:val="00DA1D2D"/>
    <w:rsid w:val="00DA1DD5"/>
    <w:rsid w:val="00DA24F6"/>
    <w:rsid w:val="00DA3791"/>
    <w:rsid w:val="00DA3DAF"/>
    <w:rsid w:val="00DA4194"/>
    <w:rsid w:val="00DA50CF"/>
    <w:rsid w:val="00DA5EDB"/>
    <w:rsid w:val="00DB0FCB"/>
    <w:rsid w:val="00DB4046"/>
    <w:rsid w:val="00DB489D"/>
    <w:rsid w:val="00DB5CA1"/>
    <w:rsid w:val="00DB6CA6"/>
    <w:rsid w:val="00DC06D2"/>
    <w:rsid w:val="00DC0757"/>
    <w:rsid w:val="00DC1599"/>
    <w:rsid w:val="00DC2666"/>
    <w:rsid w:val="00DC3A2E"/>
    <w:rsid w:val="00DC3DA7"/>
    <w:rsid w:val="00DC4555"/>
    <w:rsid w:val="00DC69A1"/>
    <w:rsid w:val="00DD08BD"/>
    <w:rsid w:val="00DD3D8E"/>
    <w:rsid w:val="00DD73E3"/>
    <w:rsid w:val="00DD77A2"/>
    <w:rsid w:val="00DE4950"/>
    <w:rsid w:val="00DE62A3"/>
    <w:rsid w:val="00DE71C1"/>
    <w:rsid w:val="00DE78DF"/>
    <w:rsid w:val="00DF0740"/>
    <w:rsid w:val="00DF194D"/>
    <w:rsid w:val="00DF1B3E"/>
    <w:rsid w:val="00DF2332"/>
    <w:rsid w:val="00DF3FF3"/>
    <w:rsid w:val="00DF61AD"/>
    <w:rsid w:val="00E003C6"/>
    <w:rsid w:val="00E006CC"/>
    <w:rsid w:val="00E00C68"/>
    <w:rsid w:val="00E0239D"/>
    <w:rsid w:val="00E02540"/>
    <w:rsid w:val="00E0278F"/>
    <w:rsid w:val="00E05BDA"/>
    <w:rsid w:val="00E06744"/>
    <w:rsid w:val="00E06CBB"/>
    <w:rsid w:val="00E0709E"/>
    <w:rsid w:val="00E1022D"/>
    <w:rsid w:val="00E1186E"/>
    <w:rsid w:val="00E11EEB"/>
    <w:rsid w:val="00E217A0"/>
    <w:rsid w:val="00E2257D"/>
    <w:rsid w:val="00E2265D"/>
    <w:rsid w:val="00E25163"/>
    <w:rsid w:val="00E26DA1"/>
    <w:rsid w:val="00E26FBD"/>
    <w:rsid w:val="00E3078C"/>
    <w:rsid w:val="00E312B0"/>
    <w:rsid w:val="00E31DC2"/>
    <w:rsid w:val="00E329D5"/>
    <w:rsid w:val="00E33422"/>
    <w:rsid w:val="00E33522"/>
    <w:rsid w:val="00E342BD"/>
    <w:rsid w:val="00E34563"/>
    <w:rsid w:val="00E37E95"/>
    <w:rsid w:val="00E41B76"/>
    <w:rsid w:val="00E41CE5"/>
    <w:rsid w:val="00E43453"/>
    <w:rsid w:val="00E43DCE"/>
    <w:rsid w:val="00E527E0"/>
    <w:rsid w:val="00E53D61"/>
    <w:rsid w:val="00E55332"/>
    <w:rsid w:val="00E55E92"/>
    <w:rsid w:val="00E56788"/>
    <w:rsid w:val="00E570F9"/>
    <w:rsid w:val="00E61184"/>
    <w:rsid w:val="00E70989"/>
    <w:rsid w:val="00E717F2"/>
    <w:rsid w:val="00E73C83"/>
    <w:rsid w:val="00E749D5"/>
    <w:rsid w:val="00E74F43"/>
    <w:rsid w:val="00E750E2"/>
    <w:rsid w:val="00E75E7B"/>
    <w:rsid w:val="00E81227"/>
    <w:rsid w:val="00E860FA"/>
    <w:rsid w:val="00E868FA"/>
    <w:rsid w:val="00E87642"/>
    <w:rsid w:val="00E87667"/>
    <w:rsid w:val="00E92B1A"/>
    <w:rsid w:val="00E93C87"/>
    <w:rsid w:val="00E95131"/>
    <w:rsid w:val="00E95D2E"/>
    <w:rsid w:val="00E95D39"/>
    <w:rsid w:val="00E9635D"/>
    <w:rsid w:val="00E966F5"/>
    <w:rsid w:val="00E96E4E"/>
    <w:rsid w:val="00E97147"/>
    <w:rsid w:val="00EA1514"/>
    <w:rsid w:val="00EA2387"/>
    <w:rsid w:val="00EA3FC9"/>
    <w:rsid w:val="00EA4232"/>
    <w:rsid w:val="00EA423A"/>
    <w:rsid w:val="00EA4910"/>
    <w:rsid w:val="00EB02FB"/>
    <w:rsid w:val="00EB194A"/>
    <w:rsid w:val="00EB3873"/>
    <w:rsid w:val="00EB40D8"/>
    <w:rsid w:val="00EB4129"/>
    <w:rsid w:val="00EB46DF"/>
    <w:rsid w:val="00EB52D0"/>
    <w:rsid w:val="00EB5C14"/>
    <w:rsid w:val="00EB64D1"/>
    <w:rsid w:val="00EB748E"/>
    <w:rsid w:val="00EB75FA"/>
    <w:rsid w:val="00EB7616"/>
    <w:rsid w:val="00EB7A46"/>
    <w:rsid w:val="00EB7B84"/>
    <w:rsid w:val="00EC35EE"/>
    <w:rsid w:val="00EC5BF3"/>
    <w:rsid w:val="00EC686C"/>
    <w:rsid w:val="00ED30F6"/>
    <w:rsid w:val="00ED32CA"/>
    <w:rsid w:val="00ED3FC2"/>
    <w:rsid w:val="00ED4522"/>
    <w:rsid w:val="00EE15E3"/>
    <w:rsid w:val="00EE244C"/>
    <w:rsid w:val="00EE38EF"/>
    <w:rsid w:val="00EE55E7"/>
    <w:rsid w:val="00EE6AC7"/>
    <w:rsid w:val="00EE787A"/>
    <w:rsid w:val="00EE7E28"/>
    <w:rsid w:val="00EF30FB"/>
    <w:rsid w:val="00EF3451"/>
    <w:rsid w:val="00EF4360"/>
    <w:rsid w:val="00EF50AE"/>
    <w:rsid w:val="00EF528C"/>
    <w:rsid w:val="00F01231"/>
    <w:rsid w:val="00F0221C"/>
    <w:rsid w:val="00F03410"/>
    <w:rsid w:val="00F04B54"/>
    <w:rsid w:val="00F0725D"/>
    <w:rsid w:val="00F10277"/>
    <w:rsid w:val="00F10A0F"/>
    <w:rsid w:val="00F10BC5"/>
    <w:rsid w:val="00F13C6E"/>
    <w:rsid w:val="00F14B41"/>
    <w:rsid w:val="00F153C2"/>
    <w:rsid w:val="00F17063"/>
    <w:rsid w:val="00F174DF"/>
    <w:rsid w:val="00F209D9"/>
    <w:rsid w:val="00F22224"/>
    <w:rsid w:val="00F229B5"/>
    <w:rsid w:val="00F22DA0"/>
    <w:rsid w:val="00F23749"/>
    <w:rsid w:val="00F23A4B"/>
    <w:rsid w:val="00F27D6E"/>
    <w:rsid w:val="00F30B6E"/>
    <w:rsid w:val="00F3231F"/>
    <w:rsid w:val="00F32EAE"/>
    <w:rsid w:val="00F337EC"/>
    <w:rsid w:val="00F348DB"/>
    <w:rsid w:val="00F37BFF"/>
    <w:rsid w:val="00F412BA"/>
    <w:rsid w:val="00F41339"/>
    <w:rsid w:val="00F42153"/>
    <w:rsid w:val="00F423DB"/>
    <w:rsid w:val="00F43940"/>
    <w:rsid w:val="00F444A2"/>
    <w:rsid w:val="00F44BFD"/>
    <w:rsid w:val="00F44DE8"/>
    <w:rsid w:val="00F46794"/>
    <w:rsid w:val="00F46A66"/>
    <w:rsid w:val="00F50C65"/>
    <w:rsid w:val="00F511F6"/>
    <w:rsid w:val="00F55D3C"/>
    <w:rsid w:val="00F57373"/>
    <w:rsid w:val="00F61B2B"/>
    <w:rsid w:val="00F720CD"/>
    <w:rsid w:val="00F76B57"/>
    <w:rsid w:val="00F8088C"/>
    <w:rsid w:val="00F84292"/>
    <w:rsid w:val="00F86AEB"/>
    <w:rsid w:val="00F912B4"/>
    <w:rsid w:val="00F933D8"/>
    <w:rsid w:val="00F942A5"/>
    <w:rsid w:val="00F962EF"/>
    <w:rsid w:val="00F97981"/>
    <w:rsid w:val="00FA1C92"/>
    <w:rsid w:val="00FA264E"/>
    <w:rsid w:val="00FA35AA"/>
    <w:rsid w:val="00FA4C09"/>
    <w:rsid w:val="00FA4D79"/>
    <w:rsid w:val="00FA4F13"/>
    <w:rsid w:val="00FA6536"/>
    <w:rsid w:val="00FA7FFD"/>
    <w:rsid w:val="00FB0CAE"/>
    <w:rsid w:val="00FB133C"/>
    <w:rsid w:val="00FB259D"/>
    <w:rsid w:val="00FB5635"/>
    <w:rsid w:val="00FC35FB"/>
    <w:rsid w:val="00FC4E3F"/>
    <w:rsid w:val="00FC50BA"/>
    <w:rsid w:val="00FC6DEE"/>
    <w:rsid w:val="00FC75F7"/>
    <w:rsid w:val="00FD332B"/>
    <w:rsid w:val="00FD3440"/>
    <w:rsid w:val="00FD49BD"/>
    <w:rsid w:val="00FD4D9E"/>
    <w:rsid w:val="00FD4DF8"/>
    <w:rsid w:val="00FD5624"/>
    <w:rsid w:val="00FD751E"/>
    <w:rsid w:val="00FE10D6"/>
    <w:rsid w:val="00FE3562"/>
    <w:rsid w:val="00FE35A0"/>
    <w:rsid w:val="00FE3A4D"/>
    <w:rsid w:val="00FE7AC1"/>
    <w:rsid w:val="00FF13D6"/>
    <w:rsid w:val="00FF25AA"/>
    <w:rsid w:val="00FF2CA9"/>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8AA44"/>
  <w15:docId w15:val="{5173F96E-9F7F-4B7F-9298-8564ACAB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2755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27557"/>
    <w:pPr>
      <w:spacing w:after="0" w:line="240" w:lineRule="auto"/>
      <w:ind w:left="720"/>
      <w:contextualSpacing/>
    </w:pPr>
    <w:rPr>
      <w:rFonts w:ascii="Times New Roman" w:eastAsia="Times New Roman" w:hAnsi="Times New Roman" w:cs="Times New Roman"/>
      <w:sz w:val="24"/>
      <w:szCs w:val="24"/>
    </w:rPr>
  </w:style>
  <w:style w:type="paragraph" w:styleId="Normaallaadveeb">
    <w:name w:val="Normal (Web)"/>
    <w:basedOn w:val="Normaallaad"/>
    <w:uiPriority w:val="99"/>
    <w:unhideWhenUsed/>
    <w:rsid w:val="00273E17"/>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is">
    <w:name w:val="header"/>
    <w:basedOn w:val="Normaallaad"/>
    <w:link w:val="PisMrk"/>
    <w:uiPriority w:val="99"/>
    <w:unhideWhenUsed/>
    <w:rsid w:val="001B4EF1"/>
    <w:pPr>
      <w:tabs>
        <w:tab w:val="center" w:pos="4536"/>
        <w:tab w:val="right" w:pos="9072"/>
      </w:tabs>
      <w:spacing w:after="0" w:line="240" w:lineRule="auto"/>
    </w:pPr>
  </w:style>
  <w:style w:type="character" w:customStyle="1" w:styleId="PisMrk">
    <w:name w:val="Päis Märk"/>
    <w:basedOn w:val="Liguvaikefont"/>
    <w:link w:val="Pis"/>
    <w:uiPriority w:val="99"/>
    <w:rsid w:val="001B4EF1"/>
  </w:style>
  <w:style w:type="paragraph" w:styleId="Jalus">
    <w:name w:val="footer"/>
    <w:basedOn w:val="Normaallaad"/>
    <w:link w:val="JalusMrk"/>
    <w:uiPriority w:val="99"/>
    <w:unhideWhenUsed/>
    <w:rsid w:val="001B4EF1"/>
    <w:pPr>
      <w:tabs>
        <w:tab w:val="center" w:pos="4536"/>
        <w:tab w:val="right" w:pos="9072"/>
      </w:tabs>
      <w:spacing w:after="0" w:line="240" w:lineRule="auto"/>
    </w:pPr>
  </w:style>
  <w:style w:type="character" w:customStyle="1" w:styleId="JalusMrk">
    <w:name w:val="Jalus Märk"/>
    <w:basedOn w:val="Liguvaikefont"/>
    <w:link w:val="Jalus"/>
    <w:uiPriority w:val="99"/>
    <w:rsid w:val="001B4EF1"/>
  </w:style>
  <w:style w:type="character" w:styleId="Kommentaariviide">
    <w:name w:val="annotation reference"/>
    <w:basedOn w:val="Liguvaikefont"/>
    <w:uiPriority w:val="99"/>
    <w:semiHidden/>
    <w:unhideWhenUsed/>
    <w:rsid w:val="00AE0312"/>
    <w:rPr>
      <w:sz w:val="16"/>
      <w:szCs w:val="16"/>
    </w:rPr>
  </w:style>
  <w:style w:type="paragraph" w:styleId="Kommentaaritekst">
    <w:name w:val="annotation text"/>
    <w:basedOn w:val="Normaallaad"/>
    <w:link w:val="KommentaaritekstMrk"/>
    <w:uiPriority w:val="99"/>
    <w:semiHidden/>
    <w:unhideWhenUsed/>
    <w:rsid w:val="00AE031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E0312"/>
    <w:rPr>
      <w:sz w:val="20"/>
      <w:szCs w:val="20"/>
    </w:rPr>
  </w:style>
  <w:style w:type="paragraph" w:styleId="Kommentaariteema">
    <w:name w:val="annotation subject"/>
    <w:basedOn w:val="Kommentaaritekst"/>
    <w:next w:val="Kommentaaritekst"/>
    <w:link w:val="KommentaariteemaMrk"/>
    <w:uiPriority w:val="99"/>
    <w:semiHidden/>
    <w:unhideWhenUsed/>
    <w:rsid w:val="00AE0312"/>
    <w:rPr>
      <w:b/>
      <w:bCs/>
    </w:rPr>
  </w:style>
  <w:style w:type="character" w:customStyle="1" w:styleId="KommentaariteemaMrk">
    <w:name w:val="Kommentaari teema Märk"/>
    <w:basedOn w:val="KommentaaritekstMrk"/>
    <w:link w:val="Kommentaariteema"/>
    <w:uiPriority w:val="99"/>
    <w:semiHidden/>
    <w:rsid w:val="00AE0312"/>
    <w:rPr>
      <w:b/>
      <w:bCs/>
      <w:sz w:val="20"/>
      <w:szCs w:val="20"/>
    </w:rPr>
  </w:style>
  <w:style w:type="paragraph" w:styleId="Jutumullitekst">
    <w:name w:val="Balloon Text"/>
    <w:basedOn w:val="Normaallaad"/>
    <w:link w:val="JutumullitekstMrk"/>
    <w:uiPriority w:val="99"/>
    <w:semiHidden/>
    <w:unhideWhenUsed/>
    <w:rsid w:val="00AE031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E0312"/>
    <w:rPr>
      <w:rFonts w:ascii="Tahoma" w:hAnsi="Tahoma" w:cs="Tahoma"/>
      <w:sz w:val="16"/>
      <w:szCs w:val="16"/>
    </w:rPr>
  </w:style>
  <w:style w:type="paragraph" w:styleId="Allmrkusetekst">
    <w:name w:val="footnote text"/>
    <w:basedOn w:val="Normaallaad"/>
    <w:link w:val="AllmrkusetekstMrk"/>
    <w:uiPriority w:val="99"/>
    <w:semiHidden/>
    <w:unhideWhenUsed/>
    <w:rsid w:val="00BE5D7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BE5D70"/>
    <w:rPr>
      <w:sz w:val="20"/>
      <w:szCs w:val="20"/>
    </w:rPr>
  </w:style>
  <w:style w:type="character" w:styleId="Allmrkuseviide">
    <w:name w:val="footnote reference"/>
    <w:basedOn w:val="Liguvaikefont"/>
    <w:semiHidden/>
    <w:unhideWhenUsed/>
    <w:rsid w:val="00BE5D70"/>
    <w:rPr>
      <w:vertAlign w:val="superscript"/>
    </w:rPr>
  </w:style>
  <w:style w:type="character" w:styleId="Hperlink">
    <w:name w:val="Hyperlink"/>
    <w:basedOn w:val="Liguvaikefont"/>
    <w:uiPriority w:val="99"/>
    <w:unhideWhenUsed/>
    <w:rsid w:val="00BE5D70"/>
    <w:rPr>
      <w:color w:val="0563C1" w:themeColor="hyperlink"/>
      <w:u w:val="single"/>
    </w:rPr>
  </w:style>
  <w:style w:type="character" w:customStyle="1" w:styleId="A0">
    <w:name w:val="A0"/>
    <w:uiPriority w:val="99"/>
    <w:rsid w:val="00751E17"/>
    <w:rPr>
      <w:rFonts w:cs="Myriad Pro"/>
      <w:b/>
      <w:bCs/>
      <w:color w:val="000000"/>
      <w:sz w:val="58"/>
      <w:szCs w:val="58"/>
    </w:rPr>
  </w:style>
  <w:style w:type="character" w:styleId="Klastatudhperlink">
    <w:name w:val="FollowedHyperlink"/>
    <w:basedOn w:val="Liguvaikefont"/>
    <w:uiPriority w:val="99"/>
    <w:semiHidden/>
    <w:unhideWhenUsed/>
    <w:rsid w:val="00540B4A"/>
    <w:rPr>
      <w:color w:val="954F72" w:themeColor="followedHyperlink"/>
      <w:u w:val="single"/>
    </w:rPr>
  </w:style>
  <w:style w:type="paragraph" w:styleId="Redaktsioon">
    <w:name w:val="Revision"/>
    <w:hidden/>
    <w:uiPriority w:val="99"/>
    <w:semiHidden/>
    <w:rsid w:val="00842CB0"/>
    <w:pPr>
      <w:spacing w:after="0" w:line="240" w:lineRule="auto"/>
    </w:pPr>
  </w:style>
  <w:style w:type="character" w:customStyle="1" w:styleId="UnresolvedMention1">
    <w:name w:val="Unresolved Mention1"/>
    <w:basedOn w:val="Liguvaikefont"/>
    <w:uiPriority w:val="99"/>
    <w:semiHidden/>
    <w:unhideWhenUsed/>
    <w:rsid w:val="000410E1"/>
    <w:rPr>
      <w:color w:val="808080"/>
      <w:shd w:val="clear" w:color="auto" w:fill="E6E6E6"/>
    </w:rPr>
  </w:style>
  <w:style w:type="character" w:customStyle="1" w:styleId="UnresolvedMention2">
    <w:name w:val="Unresolved Mention2"/>
    <w:basedOn w:val="Liguvaikefont"/>
    <w:uiPriority w:val="99"/>
    <w:semiHidden/>
    <w:unhideWhenUsed/>
    <w:rsid w:val="00E61184"/>
    <w:rPr>
      <w:color w:val="808080"/>
      <w:shd w:val="clear" w:color="auto" w:fill="E6E6E6"/>
    </w:rPr>
  </w:style>
  <w:style w:type="table" w:customStyle="1" w:styleId="GridTable4-Accent11">
    <w:name w:val="Grid Table 4 - Accent 11"/>
    <w:basedOn w:val="Normaaltabel"/>
    <w:uiPriority w:val="49"/>
    <w:rsid w:val="0095437F"/>
    <w:pPr>
      <w:spacing w:after="0" w:line="240" w:lineRule="auto"/>
      <w:jc w:val="center"/>
    </w:pPr>
    <w:rPr>
      <w:rFonts w:ascii="Calibri" w:eastAsia="Times New Roman" w:hAnsi="Calibri"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iruudustik">
    <w:name w:val="Table Grid"/>
    <w:basedOn w:val="Normaaltabel"/>
    <w:uiPriority w:val="39"/>
    <w:rsid w:val="00BE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httekst">
    <w:name w:val="Plain Text"/>
    <w:basedOn w:val="Normaallaad"/>
    <w:link w:val="LihttekstMrk"/>
    <w:uiPriority w:val="99"/>
    <w:semiHidden/>
    <w:unhideWhenUsed/>
    <w:rsid w:val="00AB7829"/>
    <w:pPr>
      <w:spacing w:after="0" w:line="240" w:lineRule="auto"/>
    </w:pPr>
    <w:rPr>
      <w:rFonts w:ascii="Calibri" w:hAnsi="Calibri"/>
      <w:szCs w:val="21"/>
    </w:rPr>
  </w:style>
  <w:style w:type="character" w:customStyle="1" w:styleId="LihttekstMrk">
    <w:name w:val="Lihttekst Märk"/>
    <w:basedOn w:val="Liguvaikefont"/>
    <w:link w:val="Lihttekst"/>
    <w:uiPriority w:val="99"/>
    <w:semiHidden/>
    <w:rsid w:val="00AB7829"/>
    <w:rPr>
      <w:rFonts w:ascii="Calibri" w:hAnsi="Calibri"/>
      <w:szCs w:val="21"/>
    </w:rPr>
  </w:style>
  <w:style w:type="character" w:customStyle="1" w:styleId="UnresolvedMention3">
    <w:name w:val="Unresolved Mention3"/>
    <w:basedOn w:val="Liguvaikefont"/>
    <w:uiPriority w:val="99"/>
    <w:semiHidden/>
    <w:unhideWhenUsed/>
    <w:rsid w:val="006A6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151">
      <w:bodyDiv w:val="1"/>
      <w:marLeft w:val="0"/>
      <w:marRight w:val="0"/>
      <w:marTop w:val="0"/>
      <w:marBottom w:val="0"/>
      <w:divBdr>
        <w:top w:val="none" w:sz="0" w:space="0" w:color="auto"/>
        <w:left w:val="none" w:sz="0" w:space="0" w:color="auto"/>
        <w:bottom w:val="none" w:sz="0" w:space="0" w:color="auto"/>
        <w:right w:val="none" w:sz="0" w:space="0" w:color="auto"/>
      </w:divBdr>
    </w:div>
    <w:div w:id="4482198">
      <w:bodyDiv w:val="1"/>
      <w:marLeft w:val="0"/>
      <w:marRight w:val="0"/>
      <w:marTop w:val="0"/>
      <w:marBottom w:val="0"/>
      <w:divBdr>
        <w:top w:val="none" w:sz="0" w:space="0" w:color="auto"/>
        <w:left w:val="none" w:sz="0" w:space="0" w:color="auto"/>
        <w:bottom w:val="none" w:sz="0" w:space="0" w:color="auto"/>
        <w:right w:val="none" w:sz="0" w:space="0" w:color="auto"/>
      </w:divBdr>
    </w:div>
    <w:div w:id="120268284">
      <w:bodyDiv w:val="1"/>
      <w:marLeft w:val="0"/>
      <w:marRight w:val="0"/>
      <w:marTop w:val="0"/>
      <w:marBottom w:val="0"/>
      <w:divBdr>
        <w:top w:val="none" w:sz="0" w:space="0" w:color="auto"/>
        <w:left w:val="none" w:sz="0" w:space="0" w:color="auto"/>
        <w:bottom w:val="none" w:sz="0" w:space="0" w:color="auto"/>
        <w:right w:val="none" w:sz="0" w:space="0" w:color="auto"/>
      </w:divBdr>
    </w:div>
    <w:div w:id="280574216">
      <w:bodyDiv w:val="1"/>
      <w:marLeft w:val="0"/>
      <w:marRight w:val="0"/>
      <w:marTop w:val="0"/>
      <w:marBottom w:val="0"/>
      <w:divBdr>
        <w:top w:val="none" w:sz="0" w:space="0" w:color="auto"/>
        <w:left w:val="none" w:sz="0" w:space="0" w:color="auto"/>
        <w:bottom w:val="none" w:sz="0" w:space="0" w:color="auto"/>
        <w:right w:val="none" w:sz="0" w:space="0" w:color="auto"/>
      </w:divBdr>
    </w:div>
    <w:div w:id="293021391">
      <w:bodyDiv w:val="1"/>
      <w:marLeft w:val="0"/>
      <w:marRight w:val="0"/>
      <w:marTop w:val="0"/>
      <w:marBottom w:val="0"/>
      <w:divBdr>
        <w:top w:val="none" w:sz="0" w:space="0" w:color="auto"/>
        <w:left w:val="none" w:sz="0" w:space="0" w:color="auto"/>
        <w:bottom w:val="none" w:sz="0" w:space="0" w:color="auto"/>
        <w:right w:val="none" w:sz="0" w:space="0" w:color="auto"/>
      </w:divBdr>
    </w:div>
    <w:div w:id="305353421">
      <w:bodyDiv w:val="1"/>
      <w:marLeft w:val="0"/>
      <w:marRight w:val="0"/>
      <w:marTop w:val="0"/>
      <w:marBottom w:val="0"/>
      <w:divBdr>
        <w:top w:val="none" w:sz="0" w:space="0" w:color="auto"/>
        <w:left w:val="none" w:sz="0" w:space="0" w:color="auto"/>
        <w:bottom w:val="none" w:sz="0" w:space="0" w:color="auto"/>
        <w:right w:val="none" w:sz="0" w:space="0" w:color="auto"/>
      </w:divBdr>
    </w:div>
    <w:div w:id="399980529">
      <w:bodyDiv w:val="1"/>
      <w:marLeft w:val="0"/>
      <w:marRight w:val="0"/>
      <w:marTop w:val="0"/>
      <w:marBottom w:val="0"/>
      <w:divBdr>
        <w:top w:val="none" w:sz="0" w:space="0" w:color="auto"/>
        <w:left w:val="none" w:sz="0" w:space="0" w:color="auto"/>
        <w:bottom w:val="none" w:sz="0" w:space="0" w:color="auto"/>
        <w:right w:val="none" w:sz="0" w:space="0" w:color="auto"/>
      </w:divBdr>
    </w:div>
    <w:div w:id="416636629">
      <w:bodyDiv w:val="1"/>
      <w:marLeft w:val="0"/>
      <w:marRight w:val="0"/>
      <w:marTop w:val="0"/>
      <w:marBottom w:val="0"/>
      <w:divBdr>
        <w:top w:val="none" w:sz="0" w:space="0" w:color="auto"/>
        <w:left w:val="none" w:sz="0" w:space="0" w:color="auto"/>
        <w:bottom w:val="none" w:sz="0" w:space="0" w:color="auto"/>
        <w:right w:val="none" w:sz="0" w:space="0" w:color="auto"/>
      </w:divBdr>
    </w:div>
    <w:div w:id="444688866">
      <w:bodyDiv w:val="1"/>
      <w:marLeft w:val="0"/>
      <w:marRight w:val="0"/>
      <w:marTop w:val="0"/>
      <w:marBottom w:val="0"/>
      <w:divBdr>
        <w:top w:val="none" w:sz="0" w:space="0" w:color="auto"/>
        <w:left w:val="none" w:sz="0" w:space="0" w:color="auto"/>
        <w:bottom w:val="none" w:sz="0" w:space="0" w:color="auto"/>
        <w:right w:val="none" w:sz="0" w:space="0" w:color="auto"/>
      </w:divBdr>
    </w:div>
    <w:div w:id="550116430">
      <w:bodyDiv w:val="1"/>
      <w:marLeft w:val="0"/>
      <w:marRight w:val="0"/>
      <w:marTop w:val="0"/>
      <w:marBottom w:val="0"/>
      <w:divBdr>
        <w:top w:val="none" w:sz="0" w:space="0" w:color="auto"/>
        <w:left w:val="none" w:sz="0" w:space="0" w:color="auto"/>
        <w:bottom w:val="none" w:sz="0" w:space="0" w:color="auto"/>
        <w:right w:val="none" w:sz="0" w:space="0" w:color="auto"/>
      </w:divBdr>
    </w:div>
    <w:div w:id="550851260">
      <w:bodyDiv w:val="1"/>
      <w:marLeft w:val="0"/>
      <w:marRight w:val="0"/>
      <w:marTop w:val="0"/>
      <w:marBottom w:val="0"/>
      <w:divBdr>
        <w:top w:val="none" w:sz="0" w:space="0" w:color="auto"/>
        <w:left w:val="none" w:sz="0" w:space="0" w:color="auto"/>
        <w:bottom w:val="none" w:sz="0" w:space="0" w:color="auto"/>
        <w:right w:val="none" w:sz="0" w:space="0" w:color="auto"/>
      </w:divBdr>
    </w:div>
    <w:div w:id="665985212">
      <w:bodyDiv w:val="1"/>
      <w:marLeft w:val="0"/>
      <w:marRight w:val="0"/>
      <w:marTop w:val="0"/>
      <w:marBottom w:val="0"/>
      <w:divBdr>
        <w:top w:val="none" w:sz="0" w:space="0" w:color="auto"/>
        <w:left w:val="none" w:sz="0" w:space="0" w:color="auto"/>
        <w:bottom w:val="none" w:sz="0" w:space="0" w:color="auto"/>
        <w:right w:val="none" w:sz="0" w:space="0" w:color="auto"/>
      </w:divBdr>
    </w:div>
    <w:div w:id="680013280">
      <w:bodyDiv w:val="1"/>
      <w:marLeft w:val="0"/>
      <w:marRight w:val="0"/>
      <w:marTop w:val="0"/>
      <w:marBottom w:val="0"/>
      <w:divBdr>
        <w:top w:val="none" w:sz="0" w:space="0" w:color="auto"/>
        <w:left w:val="none" w:sz="0" w:space="0" w:color="auto"/>
        <w:bottom w:val="none" w:sz="0" w:space="0" w:color="auto"/>
        <w:right w:val="none" w:sz="0" w:space="0" w:color="auto"/>
      </w:divBdr>
    </w:div>
    <w:div w:id="686560586">
      <w:bodyDiv w:val="1"/>
      <w:marLeft w:val="0"/>
      <w:marRight w:val="0"/>
      <w:marTop w:val="0"/>
      <w:marBottom w:val="0"/>
      <w:divBdr>
        <w:top w:val="none" w:sz="0" w:space="0" w:color="auto"/>
        <w:left w:val="none" w:sz="0" w:space="0" w:color="auto"/>
        <w:bottom w:val="none" w:sz="0" w:space="0" w:color="auto"/>
        <w:right w:val="none" w:sz="0" w:space="0" w:color="auto"/>
      </w:divBdr>
    </w:div>
    <w:div w:id="704596980">
      <w:bodyDiv w:val="1"/>
      <w:marLeft w:val="0"/>
      <w:marRight w:val="0"/>
      <w:marTop w:val="0"/>
      <w:marBottom w:val="0"/>
      <w:divBdr>
        <w:top w:val="none" w:sz="0" w:space="0" w:color="auto"/>
        <w:left w:val="none" w:sz="0" w:space="0" w:color="auto"/>
        <w:bottom w:val="none" w:sz="0" w:space="0" w:color="auto"/>
        <w:right w:val="none" w:sz="0" w:space="0" w:color="auto"/>
      </w:divBdr>
    </w:div>
    <w:div w:id="809900891">
      <w:bodyDiv w:val="1"/>
      <w:marLeft w:val="0"/>
      <w:marRight w:val="0"/>
      <w:marTop w:val="0"/>
      <w:marBottom w:val="0"/>
      <w:divBdr>
        <w:top w:val="none" w:sz="0" w:space="0" w:color="auto"/>
        <w:left w:val="none" w:sz="0" w:space="0" w:color="auto"/>
        <w:bottom w:val="none" w:sz="0" w:space="0" w:color="auto"/>
        <w:right w:val="none" w:sz="0" w:space="0" w:color="auto"/>
      </w:divBdr>
    </w:div>
    <w:div w:id="849640105">
      <w:bodyDiv w:val="1"/>
      <w:marLeft w:val="0"/>
      <w:marRight w:val="0"/>
      <w:marTop w:val="0"/>
      <w:marBottom w:val="0"/>
      <w:divBdr>
        <w:top w:val="none" w:sz="0" w:space="0" w:color="auto"/>
        <w:left w:val="none" w:sz="0" w:space="0" w:color="auto"/>
        <w:bottom w:val="none" w:sz="0" w:space="0" w:color="auto"/>
        <w:right w:val="none" w:sz="0" w:space="0" w:color="auto"/>
      </w:divBdr>
    </w:div>
    <w:div w:id="896477941">
      <w:bodyDiv w:val="1"/>
      <w:marLeft w:val="0"/>
      <w:marRight w:val="0"/>
      <w:marTop w:val="0"/>
      <w:marBottom w:val="0"/>
      <w:divBdr>
        <w:top w:val="none" w:sz="0" w:space="0" w:color="auto"/>
        <w:left w:val="none" w:sz="0" w:space="0" w:color="auto"/>
        <w:bottom w:val="none" w:sz="0" w:space="0" w:color="auto"/>
        <w:right w:val="none" w:sz="0" w:space="0" w:color="auto"/>
      </w:divBdr>
    </w:div>
    <w:div w:id="909579071">
      <w:bodyDiv w:val="1"/>
      <w:marLeft w:val="0"/>
      <w:marRight w:val="0"/>
      <w:marTop w:val="0"/>
      <w:marBottom w:val="0"/>
      <w:divBdr>
        <w:top w:val="none" w:sz="0" w:space="0" w:color="auto"/>
        <w:left w:val="none" w:sz="0" w:space="0" w:color="auto"/>
        <w:bottom w:val="none" w:sz="0" w:space="0" w:color="auto"/>
        <w:right w:val="none" w:sz="0" w:space="0" w:color="auto"/>
      </w:divBdr>
    </w:div>
    <w:div w:id="1012103602">
      <w:bodyDiv w:val="1"/>
      <w:marLeft w:val="0"/>
      <w:marRight w:val="0"/>
      <w:marTop w:val="0"/>
      <w:marBottom w:val="0"/>
      <w:divBdr>
        <w:top w:val="none" w:sz="0" w:space="0" w:color="auto"/>
        <w:left w:val="none" w:sz="0" w:space="0" w:color="auto"/>
        <w:bottom w:val="none" w:sz="0" w:space="0" w:color="auto"/>
        <w:right w:val="none" w:sz="0" w:space="0" w:color="auto"/>
      </w:divBdr>
    </w:div>
    <w:div w:id="1047219192">
      <w:bodyDiv w:val="1"/>
      <w:marLeft w:val="0"/>
      <w:marRight w:val="0"/>
      <w:marTop w:val="0"/>
      <w:marBottom w:val="0"/>
      <w:divBdr>
        <w:top w:val="none" w:sz="0" w:space="0" w:color="auto"/>
        <w:left w:val="none" w:sz="0" w:space="0" w:color="auto"/>
        <w:bottom w:val="none" w:sz="0" w:space="0" w:color="auto"/>
        <w:right w:val="none" w:sz="0" w:space="0" w:color="auto"/>
      </w:divBdr>
    </w:div>
    <w:div w:id="1061515284">
      <w:bodyDiv w:val="1"/>
      <w:marLeft w:val="0"/>
      <w:marRight w:val="0"/>
      <w:marTop w:val="0"/>
      <w:marBottom w:val="0"/>
      <w:divBdr>
        <w:top w:val="none" w:sz="0" w:space="0" w:color="auto"/>
        <w:left w:val="none" w:sz="0" w:space="0" w:color="auto"/>
        <w:bottom w:val="none" w:sz="0" w:space="0" w:color="auto"/>
        <w:right w:val="none" w:sz="0" w:space="0" w:color="auto"/>
      </w:divBdr>
    </w:div>
    <w:div w:id="1113089703">
      <w:bodyDiv w:val="1"/>
      <w:marLeft w:val="0"/>
      <w:marRight w:val="0"/>
      <w:marTop w:val="0"/>
      <w:marBottom w:val="0"/>
      <w:divBdr>
        <w:top w:val="none" w:sz="0" w:space="0" w:color="auto"/>
        <w:left w:val="none" w:sz="0" w:space="0" w:color="auto"/>
        <w:bottom w:val="none" w:sz="0" w:space="0" w:color="auto"/>
        <w:right w:val="none" w:sz="0" w:space="0" w:color="auto"/>
      </w:divBdr>
    </w:div>
    <w:div w:id="1130711247">
      <w:bodyDiv w:val="1"/>
      <w:marLeft w:val="0"/>
      <w:marRight w:val="0"/>
      <w:marTop w:val="0"/>
      <w:marBottom w:val="0"/>
      <w:divBdr>
        <w:top w:val="none" w:sz="0" w:space="0" w:color="auto"/>
        <w:left w:val="none" w:sz="0" w:space="0" w:color="auto"/>
        <w:bottom w:val="none" w:sz="0" w:space="0" w:color="auto"/>
        <w:right w:val="none" w:sz="0" w:space="0" w:color="auto"/>
      </w:divBdr>
    </w:div>
    <w:div w:id="1139688011">
      <w:bodyDiv w:val="1"/>
      <w:marLeft w:val="0"/>
      <w:marRight w:val="0"/>
      <w:marTop w:val="0"/>
      <w:marBottom w:val="0"/>
      <w:divBdr>
        <w:top w:val="none" w:sz="0" w:space="0" w:color="auto"/>
        <w:left w:val="none" w:sz="0" w:space="0" w:color="auto"/>
        <w:bottom w:val="none" w:sz="0" w:space="0" w:color="auto"/>
        <w:right w:val="none" w:sz="0" w:space="0" w:color="auto"/>
      </w:divBdr>
    </w:div>
    <w:div w:id="1180703542">
      <w:bodyDiv w:val="1"/>
      <w:marLeft w:val="0"/>
      <w:marRight w:val="0"/>
      <w:marTop w:val="0"/>
      <w:marBottom w:val="0"/>
      <w:divBdr>
        <w:top w:val="none" w:sz="0" w:space="0" w:color="auto"/>
        <w:left w:val="none" w:sz="0" w:space="0" w:color="auto"/>
        <w:bottom w:val="none" w:sz="0" w:space="0" w:color="auto"/>
        <w:right w:val="none" w:sz="0" w:space="0" w:color="auto"/>
      </w:divBdr>
    </w:div>
    <w:div w:id="1188790192">
      <w:bodyDiv w:val="1"/>
      <w:marLeft w:val="0"/>
      <w:marRight w:val="0"/>
      <w:marTop w:val="0"/>
      <w:marBottom w:val="0"/>
      <w:divBdr>
        <w:top w:val="none" w:sz="0" w:space="0" w:color="auto"/>
        <w:left w:val="none" w:sz="0" w:space="0" w:color="auto"/>
        <w:bottom w:val="none" w:sz="0" w:space="0" w:color="auto"/>
        <w:right w:val="none" w:sz="0" w:space="0" w:color="auto"/>
      </w:divBdr>
    </w:div>
    <w:div w:id="1227447742">
      <w:bodyDiv w:val="1"/>
      <w:marLeft w:val="0"/>
      <w:marRight w:val="0"/>
      <w:marTop w:val="0"/>
      <w:marBottom w:val="0"/>
      <w:divBdr>
        <w:top w:val="none" w:sz="0" w:space="0" w:color="auto"/>
        <w:left w:val="none" w:sz="0" w:space="0" w:color="auto"/>
        <w:bottom w:val="none" w:sz="0" w:space="0" w:color="auto"/>
        <w:right w:val="none" w:sz="0" w:space="0" w:color="auto"/>
      </w:divBdr>
    </w:div>
    <w:div w:id="1256012406">
      <w:bodyDiv w:val="1"/>
      <w:marLeft w:val="0"/>
      <w:marRight w:val="0"/>
      <w:marTop w:val="0"/>
      <w:marBottom w:val="0"/>
      <w:divBdr>
        <w:top w:val="none" w:sz="0" w:space="0" w:color="auto"/>
        <w:left w:val="none" w:sz="0" w:space="0" w:color="auto"/>
        <w:bottom w:val="none" w:sz="0" w:space="0" w:color="auto"/>
        <w:right w:val="none" w:sz="0" w:space="0" w:color="auto"/>
      </w:divBdr>
    </w:div>
    <w:div w:id="1326787668">
      <w:bodyDiv w:val="1"/>
      <w:marLeft w:val="0"/>
      <w:marRight w:val="0"/>
      <w:marTop w:val="0"/>
      <w:marBottom w:val="0"/>
      <w:divBdr>
        <w:top w:val="none" w:sz="0" w:space="0" w:color="auto"/>
        <w:left w:val="none" w:sz="0" w:space="0" w:color="auto"/>
        <w:bottom w:val="none" w:sz="0" w:space="0" w:color="auto"/>
        <w:right w:val="none" w:sz="0" w:space="0" w:color="auto"/>
      </w:divBdr>
    </w:div>
    <w:div w:id="1334070090">
      <w:bodyDiv w:val="1"/>
      <w:marLeft w:val="0"/>
      <w:marRight w:val="0"/>
      <w:marTop w:val="0"/>
      <w:marBottom w:val="0"/>
      <w:divBdr>
        <w:top w:val="none" w:sz="0" w:space="0" w:color="auto"/>
        <w:left w:val="none" w:sz="0" w:space="0" w:color="auto"/>
        <w:bottom w:val="none" w:sz="0" w:space="0" w:color="auto"/>
        <w:right w:val="none" w:sz="0" w:space="0" w:color="auto"/>
      </w:divBdr>
    </w:div>
    <w:div w:id="1345744821">
      <w:bodyDiv w:val="1"/>
      <w:marLeft w:val="0"/>
      <w:marRight w:val="0"/>
      <w:marTop w:val="0"/>
      <w:marBottom w:val="0"/>
      <w:divBdr>
        <w:top w:val="none" w:sz="0" w:space="0" w:color="auto"/>
        <w:left w:val="none" w:sz="0" w:space="0" w:color="auto"/>
        <w:bottom w:val="none" w:sz="0" w:space="0" w:color="auto"/>
        <w:right w:val="none" w:sz="0" w:space="0" w:color="auto"/>
      </w:divBdr>
    </w:div>
    <w:div w:id="1358962780">
      <w:bodyDiv w:val="1"/>
      <w:marLeft w:val="0"/>
      <w:marRight w:val="0"/>
      <w:marTop w:val="0"/>
      <w:marBottom w:val="0"/>
      <w:divBdr>
        <w:top w:val="none" w:sz="0" w:space="0" w:color="auto"/>
        <w:left w:val="none" w:sz="0" w:space="0" w:color="auto"/>
        <w:bottom w:val="none" w:sz="0" w:space="0" w:color="auto"/>
        <w:right w:val="none" w:sz="0" w:space="0" w:color="auto"/>
      </w:divBdr>
    </w:div>
    <w:div w:id="1374118854">
      <w:bodyDiv w:val="1"/>
      <w:marLeft w:val="0"/>
      <w:marRight w:val="0"/>
      <w:marTop w:val="0"/>
      <w:marBottom w:val="0"/>
      <w:divBdr>
        <w:top w:val="none" w:sz="0" w:space="0" w:color="auto"/>
        <w:left w:val="none" w:sz="0" w:space="0" w:color="auto"/>
        <w:bottom w:val="none" w:sz="0" w:space="0" w:color="auto"/>
        <w:right w:val="none" w:sz="0" w:space="0" w:color="auto"/>
      </w:divBdr>
    </w:div>
    <w:div w:id="1375426731">
      <w:bodyDiv w:val="1"/>
      <w:marLeft w:val="0"/>
      <w:marRight w:val="0"/>
      <w:marTop w:val="0"/>
      <w:marBottom w:val="0"/>
      <w:divBdr>
        <w:top w:val="none" w:sz="0" w:space="0" w:color="auto"/>
        <w:left w:val="none" w:sz="0" w:space="0" w:color="auto"/>
        <w:bottom w:val="none" w:sz="0" w:space="0" w:color="auto"/>
        <w:right w:val="none" w:sz="0" w:space="0" w:color="auto"/>
      </w:divBdr>
    </w:div>
    <w:div w:id="1424885418">
      <w:bodyDiv w:val="1"/>
      <w:marLeft w:val="0"/>
      <w:marRight w:val="0"/>
      <w:marTop w:val="0"/>
      <w:marBottom w:val="0"/>
      <w:divBdr>
        <w:top w:val="none" w:sz="0" w:space="0" w:color="auto"/>
        <w:left w:val="none" w:sz="0" w:space="0" w:color="auto"/>
        <w:bottom w:val="none" w:sz="0" w:space="0" w:color="auto"/>
        <w:right w:val="none" w:sz="0" w:space="0" w:color="auto"/>
      </w:divBdr>
    </w:div>
    <w:div w:id="1429883227">
      <w:bodyDiv w:val="1"/>
      <w:marLeft w:val="0"/>
      <w:marRight w:val="0"/>
      <w:marTop w:val="0"/>
      <w:marBottom w:val="0"/>
      <w:divBdr>
        <w:top w:val="none" w:sz="0" w:space="0" w:color="auto"/>
        <w:left w:val="none" w:sz="0" w:space="0" w:color="auto"/>
        <w:bottom w:val="none" w:sz="0" w:space="0" w:color="auto"/>
        <w:right w:val="none" w:sz="0" w:space="0" w:color="auto"/>
      </w:divBdr>
    </w:div>
    <w:div w:id="1475172156">
      <w:bodyDiv w:val="1"/>
      <w:marLeft w:val="0"/>
      <w:marRight w:val="0"/>
      <w:marTop w:val="0"/>
      <w:marBottom w:val="0"/>
      <w:divBdr>
        <w:top w:val="none" w:sz="0" w:space="0" w:color="auto"/>
        <w:left w:val="none" w:sz="0" w:space="0" w:color="auto"/>
        <w:bottom w:val="none" w:sz="0" w:space="0" w:color="auto"/>
        <w:right w:val="none" w:sz="0" w:space="0" w:color="auto"/>
      </w:divBdr>
    </w:div>
    <w:div w:id="1493911371">
      <w:bodyDiv w:val="1"/>
      <w:marLeft w:val="0"/>
      <w:marRight w:val="0"/>
      <w:marTop w:val="0"/>
      <w:marBottom w:val="0"/>
      <w:divBdr>
        <w:top w:val="none" w:sz="0" w:space="0" w:color="auto"/>
        <w:left w:val="none" w:sz="0" w:space="0" w:color="auto"/>
        <w:bottom w:val="none" w:sz="0" w:space="0" w:color="auto"/>
        <w:right w:val="none" w:sz="0" w:space="0" w:color="auto"/>
      </w:divBdr>
    </w:div>
    <w:div w:id="1500077960">
      <w:bodyDiv w:val="1"/>
      <w:marLeft w:val="0"/>
      <w:marRight w:val="0"/>
      <w:marTop w:val="0"/>
      <w:marBottom w:val="0"/>
      <w:divBdr>
        <w:top w:val="none" w:sz="0" w:space="0" w:color="auto"/>
        <w:left w:val="none" w:sz="0" w:space="0" w:color="auto"/>
        <w:bottom w:val="none" w:sz="0" w:space="0" w:color="auto"/>
        <w:right w:val="none" w:sz="0" w:space="0" w:color="auto"/>
      </w:divBdr>
      <w:divsChild>
        <w:div w:id="546990519">
          <w:marLeft w:val="547"/>
          <w:marRight w:val="0"/>
          <w:marTop w:val="67"/>
          <w:marBottom w:val="0"/>
          <w:divBdr>
            <w:top w:val="none" w:sz="0" w:space="0" w:color="auto"/>
            <w:left w:val="none" w:sz="0" w:space="0" w:color="auto"/>
            <w:bottom w:val="none" w:sz="0" w:space="0" w:color="auto"/>
            <w:right w:val="none" w:sz="0" w:space="0" w:color="auto"/>
          </w:divBdr>
        </w:div>
        <w:div w:id="1619406577">
          <w:marLeft w:val="547"/>
          <w:marRight w:val="0"/>
          <w:marTop w:val="67"/>
          <w:marBottom w:val="0"/>
          <w:divBdr>
            <w:top w:val="none" w:sz="0" w:space="0" w:color="auto"/>
            <w:left w:val="none" w:sz="0" w:space="0" w:color="auto"/>
            <w:bottom w:val="none" w:sz="0" w:space="0" w:color="auto"/>
            <w:right w:val="none" w:sz="0" w:space="0" w:color="auto"/>
          </w:divBdr>
        </w:div>
        <w:div w:id="834036227">
          <w:marLeft w:val="547"/>
          <w:marRight w:val="0"/>
          <w:marTop w:val="67"/>
          <w:marBottom w:val="0"/>
          <w:divBdr>
            <w:top w:val="none" w:sz="0" w:space="0" w:color="auto"/>
            <w:left w:val="none" w:sz="0" w:space="0" w:color="auto"/>
            <w:bottom w:val="none" w:sz="0" w:space="0" w:color="auto"/>
            <w:right w:val="none" w:sz="0" w:space="0" w:color="auto"/>
          </w:divBdr>
        </w:div>
        <w:div w:id="1360010701">
          <w:marLeft w:val="547"/>
          <w:marRight w:val="0"/>
          <w:marTop w:val="67"/>
          <w:marBottom w:val="0"/>
          <w:divBdr>
            <w:top w:val="none" w:sz="0" w:space="0" w:color="auto"/>
            <w:left w:val="none" w:sz="0" w:space="0" w:color="auto"/>
            <w:bottom w:val="none" w:sz="0" w:space="0" w:color="auto"/>
            <w:right w:val="none" w:sz="0" w:space="0" w:color="auto"/>
          </w:divBdr>
        </w:div>
      </w:divsChild>
    </w:div>
    <w:div w:id="1525241721">
      <w:bodyDiv w:val="1"/>
      <w:marLeft w:val="0"/>
      <w:marRight w:val="0"/>
      <w:marTop w:val="0"/>
      <w:marBottom w:val="0"/>
      <w:divBdr>
        <w:top w:val="none" w:sz="0" w:space="0" w:color="auto"/>
        <w:left w:val="none" w:sz="0" w:space="0" w:color="auto"/>
        <w:bottom w:val="none" w:sz="0" w:space="0" w:color="auto"/>
        <w:right w:val="none" w:sz="0" w:space="0" w:color="auto"/>
      </w:divBdr>
    </w:div>
    <w:div w:id="1539198037">
      <w:bodyDiv w:val="1"/>
      <w:marLeft w:val="0"/>
      <w:marRight w:val="0"/>
      <w:marTop w:val="0"/>
      <w:marBottom w:val="0"/>
      <w:divBdr>
        <w:top w:val="none" w:sz="0" w:space="0" w:color="auto"/>
        <w:left w:val="none" w:sz="0" w:space="0" w:color="auto"/>
        <w:bottom w:val="none" w:sz="0" w:space="0" w:color="auto"/>
        <w:right w:val="none" w:sz="0" w:space="0" w:color="auto"/>
      </w:divBdr>
    </w:div>
    <w:div w:id="1540165690">
      <w:bodyDiv w:val="1"/>
      <w:marLeft w:val="0"/>
      <w:marRight w:val="0"/>
      <w:marTop w:val="0"/>
      <w:marBottom w:val="0"/>
      <w:divBdr>
        <w:top w:val="none" w:sz="0" w:space="0" w:color="auto"/>
        <w:left w:val="none" w:sz="0" w:space="0" w:color="auto"/>
        <w:bottom w:val="none" w:sz="0" w:space="0" w:color="auto"/>
        <w:right w:val="none" w:sz="0" w:space="0" w:color="auto"/>
      </w:divBdr>
    </w:div>
    <w:div w:id="1557473070">
      <w:bodyDiv w:val="1"/>
      <w:marLeft w:val="0"/>
      <w:marRight w:val="0"/>
      <w:marTop w:val="0"/>
      <w:marBottom w:val="0"/>
      <w:divBdr>
        <w:top w:val="none" w:sz="0" w:space="0" w:color="auto"/>
        <w:left w:val="none" w:sz="0" w:space="0" w:color="auto"/>
        <w:bottom w:val="none" w:sz="0" w:space="0" w:color="auto"/>
        <w:right w:val="none" w:sz="0" w:space="0" w:color="auto"/>
      </w:divBdr>
    </w:div>
    <w:div w:id="1588424472">
      <w:bodyDiv w:val="1"/>
      <w:marLeft w:val="0"/>
      <w:marRight w:val="0"/>
      <w:marTop w:val="0"/>
      <w:marBottom w:val="0"/>
      <w:divBdr>
        <w:top w:val="none" w:sz="0" w:space="0" w:color="auto"/>
        <w:left w:val="none" w:sz="0" w:space="0" w:color="auto"/>
        <w:bottom w:val="none" w:sz="0" w:space="0" w:color="auto"/>
        <w:right w:val="none" w:sz="0" w:space="0" w:color="auto"/>
      </w:divBdr>
    </w:div>
    <w:div w:id="1650475853">
      <w:bodyDiv w:val="1"/>
      <w:marLeft w:val="0"/>
      <w:marRight w:val="0"/>
      <w:marTop w:val="0"/>
      <w:marBottom w:val="0"/>
      <w:divBdr>
        <w:top w:val="none" w:sz="0" w:space="0" w:color="auto"/>
        <w:left w:val="none" w:sz="0" w:space="0" w:color="auto"/>
        <w:bottom w:val="none" w:sz="0" w:space="0" w:color="auto"/>
        <w:right w:val="none" w:sz="0" w:space="0" w:color="auto"/>
      </w:divBdr>
    </w:div>
    <w:div w:id="1683312549">
      <w:bodyDiv w:val="1"/>
      <w:marLeft w:val="0"/>
      <w:marRight w:val="0"/>
      <w:marTop w:val="0"/>
      <w:marBottom w:val="0"/>
      <w:divBdr>
        <w:top w:val="none" w:sz="0" w:space="0" w:color="auto"/>
        <w:left w:val="none" w:sz="0" w:space="0" w:color="auto"/>
        <w:bottom w:val="none" w:sz="0" w:space="0" w:color="auto"/>
        <w:right w:val="none" w:sz="0" w:space="0" w:color="auto"/>
      </w:divBdr>
      <w:divsChild>
        <w:div w:id="1953628867">
          <w:marLeft w:val="547"/>
          <w:marRight w:val="0"/>
          <w:marTop w:val="67"/>
          <w:marBottom w:val="0"/>
          <w:divBdr>
            <w:top w:val="none" w:sz="0" w:space="0" w:color="auto"/>
            <w:left w:val="none" w:sz="0" w:space="0" w:color="auto"/>
            <w:bottom w:val="none" w:sz="0" w:space="0" w:color="auto"/>
            <w:right w:val="none" w:sz="0" w:space="0" w:color="auto"/>
          </w:divBdr>
        </w:div>
        <w:div w:id="2041514975">
          <w:marLeft w:val="547"/>
          <w:marRight w:val="0"/>
          <w:marTop w:val="67"/>
          <w:marBottom w:val="0"/>
          <w:divBdr>
            <w:top w:val="none" w:sz="0" w:space="0" w:color="auto"/>
            <w:left w:val="none" w:sz="0" w:space="0" w:color="auto"/>
            <w:bottom w:val="none" w:sz="0" w:space="0" w:color="auto"/>
            <w:right w:val="none" w:sz="0" w:space="0" w:color="auto"/>
          </w:divBdr>
        </w:div>
      </w:divsChild>
    </w:div>
    <w:div w:id="1708873996">
      <w:bodyDiv w:val="1"/>
      <w:marLeft w:val="0"/>
      <w:marRight w:val="0"/>
      <w:marTop w:val="0"/>
      <w:marBottom w:val="0"/>
      <w:divBdr>
        <w:top w:val="none" w:sz="0" w:space="0" w:color="auto"/>
        <w:left w:val="none" w:sz="0" w:space="0" w:color="auto"/>
        <w:bottom w:val="none" w:sz="0" w:space="0" w:color="auto"/>
        <w:right w:val="none" w:sz="0" w:space="0" w:color="auto"/>
      </w:divBdr>
    </w:div>
    <w:div w:id="1850486199">
      <w:bodyDiv w:val="1"/>
      <w:marLeft w:val="0"/>
      <w:marRight w:val="0"/>
      <w:marTop w:val="0"/>
      <w:marBottom w:val="0"/>
      <w:divBdr>
        <w:top w:val="none" w:sz="0" w:space="0" w:color="auto"/>
        <w:left w:val="none" w:sz="0" w:space="0" w:color="auto"/>
        <w:bottom w:val="none" w:sz="0" w:space="0" w:color="auto"/>
        <w:right w:val="none" w:sz="0" w:space="0" w:color="auto"/>
      </w:divBdr>
    </w:div>
    <w:div w:id="1869679644">
      <w:bodyDiv w:val="1"/>
      <w:marLeft w:val="0"/>
      <w:marRight w:val="0"/>
      <w:marTop w:val="0"/>
      <w:marBottom w:val="0"/>
      <w:divBdr>
        <w:top w:val="none" w:sz="0" w:space="0" w:color="auto"/>
        <w:left w:val="none" w:sz="0" w:space="0" w:color="auto"/>
        <w:bottom w:val="none" w:sz="0" w:space="0" w:color="auto"/>
        <w:right w:val="none" w:sz="0" w:space="0" w:color="auto"/>
      </w:divBdr>
    </w:div>
    <w:div w:id="1938176180">
      <w:bodyDiv w:val="1"/>
      <w:marLeft w:val="0"/>
      <w:marRight w:val="0"/>
      <w:marTop w:val="0"/>
      <w:marBottom w:val="0"/>
      <w:divBdr>
        <w:top w:val="none" w:sz="0" w:space="0" w:color="auto"/>
        <w:left w:val="none" w:sz="0" w:space="0" w:color="auto"/>
        <w:bottom w:val="none" w:sz="0" w:space="0" w:color="auto"/>
        <w:right w:val="none" w:sz="0" w:space="0" w:color="auto"/>
      </w:divBdr>
    </w:div>
    <w:div w:id="1949237336">
      <w:bodyDiv w:val="1"/>
      <w:marLeft w:val="0"/>
      <w:marRight w:val="0"/>
      <w:marTop w:val="0"/>
      <w:marBottom w:val="0"/>
      <w:divBdr>
        <w:top w:val="none" w:sz="0" w:space="0" w:color="auto"/>
        <w:left w:val="none" w:sz="0" w:space="0" w:color="auto"/>
        <w:bottom w:val="none" w:sz="0" w:space="0" w:color="auto"/>
        <w:right w:val="none" w:sz="0" w:space="0" w:color="auto"/>
      </w:divBdr>
    </w:div>
    <w:div w:id="1991472387">
      <w:bodyDiv w:val="1"/>
      <w:marLeft w:val="0"/>
      <w:marRight w:val="0"/>
      <w:marTop w:val="0"/>
      <w:marBottom w:val="0"/>
      <w:divBdr>
        <w:top w:val="none" w:sz="0" w:space="0" w:color="auto"/>
        <w:left w:val="none" w:sz="0" w:space="0" w:color="auto"/>
        <w:bottom w:val="none" w:sz="0" w:space="0" w:color="auto"/>
        <w:right w:val="none" w:sz="0" w:space="0" w:color="auto"/>
      </w:divBdr>
      <w:divsChild>
        <w:div w:id="1696956208">
          <w:marLeft w:val="360"/>
          <w:marRight w:val="0"/>
          <w:marTop w:val="53"/>
          <w:marBottom w:val="0"/>
          <w:divBdr>
            <w:top w:val="none" w:sz="0" w:space="0" w:color="auto"/>
            <w:left w:val="none" w:sz="0" w:space="0" w:color="auto"/>
            <w:bottom w:val="none" w:sz="0" w:space="0" w:color="auto"/>
            <w:right w:val="none" w:sz="0" w:space="0" w:color="auto"/>
          </w:divBdr>
        </w:div>
        <w:div w:id="1711494900">
          <w:marLeft w:val="360"/>
          <w:marRight w:val="0"/>
          <w:marTop w:val="53"/>
          <w:marBottom w:val="0"/>
          <w:divBdr>
            <w:top w:val="none" w:sz="0" w:space="0" w:color="auto"/>
            <w:left w:val="none" w:sz="0" w:space="0" w:color="auto"/>
            <w:bottom w:val="none" w:sz="0" w:space="0" w:color="auto"/>
            <w:right w:val="none" w:sz="0" w:space="0" w:color="auto"/>
          </w:divBdr>
        </w:div>
      </w:divsChild>
    </w:div>
    <w:div w:id="2017920777">
      <w:bodyDiv w:val="1"/>
      <w:marLeft w:val="0"/>
      <w:marRight w:val="0"/>
      <w:marTop w:val="0"/>
      <w:marBottom w:val="0"/>
      <w:divBdr>
        <w:top w:val="none" w:sz="0" w:space="0" w:color="auto"/>
        <w:left w:val="none" w:sz="0" w:space="0" w:color="auto"/>
        <w:bottom w:val="none" w:sz="0" w:space="0" w:color="auto"/>
        <w:right w:val="none" w:sz="0" w:space="0" w:color="auto"/>
      </w:divBdr>
    </w:div>
    <w:div w:id="2044204659">
      <w:bodyDiv w:val="1"/>
      <w:marLeft w:val="0"/>
      <w:marRight w:val="0"/>
      <w:marTop w:val="0"/>
      <w:marBottom w:val="0"/>
      <w:divBdr>
        <w:top w:val="none" w:sz="0" w:space="0" w:color="auto"/>
        <w:left w:val="none" w:sz="0" w:space="0" w:color="auto"/>
        <w:bottom w:val="none" w:sz="0" w:space="0" w:color="auto"/>
        <w:right w:val="none" w:sz="0" w:space="0" w:color="auto"/>
      </w:divBdr>
    </w:div>
    <w:div w:id="20494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ahvatervis.ut.ee/handle/1/5724"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183C-D44D-4913-8357-1234A1BF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6160</Words>
  <Characters>35728</Characters>
  <Application>Microsoft Office Word</Application>
  <DocSecurity>4</DocSecurity>
  <Lines>297</Lines>
  <Paragraphs>83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Sotsiaalministeerium</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Danilov</dc:creator>
  <cp:lastModifiedBy>Alice Kivistik</cp:lastModifiedBy>
  <cp:revision>2</cp:revision>
  <cp:lastPrinted>2018-06-25T07:26:00Z</cp:lastPrinted>
  <dcterms:created xsi:type="dcterms:W3CDTF">2018-09-04T13:34:00Z</dcterms:created>
  <dcterms:modified xsi:type="dcterms:W3CDTF">2018-09-04T13:34:00Z</dcterms:modified>
</cp:coreProperties>
</file>