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E6A7" w14:textId="77777777" w:rsidR="00A379A7" w:rsidRPr="00EF2B67" w:rsidRDefault="00A379A7" w:rsidP="005A7384">
      <w:pPr>
        <w:suppressAutoHyphens w:val="0"/>
        <w:jc w:val="both"/>
        <w:rPr>
          <w:rFonts w:eastAsia="Calibri"/>
          <w:b/>
          <w:lang w:eastAsia="et-EE"/>
        </w:rPr>
      </w:pPr>
    </w:p>
    <w:p w14:paraId="7DE89A12" w14:textId="77777777" w:rsidR="00902E01" w:rsidRPr="00EF2B67" w:rsidRDefault="00902E01" w:rsidP="005A7384">
      <w:pPr>
        <w:suppressAutoHyphens w:val="0"/>
        <w:jc w:val="both"/>
        <w:rPr>
          <w:rFonts w:eastAsia="Calibri"/>
          <w:b/>
          <w:lang w:eastAsia="et-EE"/>
        </w:rPr>
      </w:pPr>
      <w:r w:rsidRPr="00817CE2">
        <w:rPr>
          <w:rFonts w:eastAsia="Calibri"/>
          <w:b/>
          <w:lang w:eastAsia="et-EE"/>
        </w:rPr>
        <w:t>SIHTVALIKU TEEMA KOKKUVÕTE</w:t>
      </w:r>
    </w:p>
    <w:p w14:paraId="1E5A8652" w14:textId="77777777" w:rsidR="00A379A7" w:rsidRPr="00EF2B67" w:rsidRDefault="00A379A7" w:rsidP="005A7384">
      <w:pPr>
        <w:suppressAutoHyphens w:val="0"/>
        <w:jc w:val="both"/>
        <w:rPr>
          <w:rFonts w:eastAsia="Calibri"/>
          <w:bCs/>
          <w:lang w:eastAsia="et-EE"/>
        </w:rPr>
      </w:pPr>
    </w:p>
    <w:p w14:paraId="640AA31C" w14:textId="373DC5ED" w:rsidR="00FB2E9E" w:rsidRPr="00FB2E9E" w:rsidRDefault="00CC59E2" w:rsidP="005A7384">
      <w:pPr>
        <w:suppressAutoHyphens w:val="0"/>
        <w:jc w:val="both"/>
        <w:rPr>
          <w:rFonts w:eastAsia="Calibri"/>
          <w:noProof/>
          <w:lang w:eastAsia="et-EE"/>
        </w:rPr>
      </w:pPr>
      <w:r>
        <w:rPr>
          <w:rFonts w:eastAsia="Calibri"/>
          <w:noProof/>
          <w:lang w:eastAsia="et-EE"/>
        </w:rPr>
        <w:t>Esitaja</w:t>
      </w:r>
      <w:r w:rsidR="00A379A7" w:rsidRPr="00EF2B67">
        <w:rPr>
          <w:rFonts w:eastAsia="Calibri"/>
          <w:noProof/>
          <w:lang w:eastAsia="et-EE"/>
        </w:rPr>
        <w:t xml:space="preserve">: </w:t>
      </w:r>
      <w:bookmarkStart w:id="0" w:name="_Hlk60748708"/>
      <w:r w:rsidR="00B96D9A">
        <w:rPr>
          <w:rFonts w:eastAsia="Calibri"/>
          <w:noProof/>
          <w:lang w:eastAsia="et-EE"/>
        </w:rPr>
        <w:t>Eliisa Soome</w:t>
      </w:r>
    </w:p>
    <w:bookmarkEnd w:id="0"/>
    <w:p w14:paraId="4E2730F3" w14:textId="07205320" w:rsidR="00A379A7" w:rsidRPr="00EF2B67" w:rsidRDefault="00A379A7" w:rsidP="005A7384">
      <w:pPr>
        <w:suppressAutoHyphens w:val="0"/>
        <w:jc w:val="both"/>
        <w:rPr>
          <w:rFonts w:eastAsia="Calibri"/>
          <w:noProof/>
          <w:lang w:eastAsia="et-EE"/>
        </w:rPr>
      </w:pPr>
      <w:r w:rsidRPr="00EF2B67">
        <w:rPr>
          <w:rFonts w:eastAsia="Calibri"/>
          <w:noProof/>
          <w:lang w:eastAsia="et-EE"/>
        </w:rPr>
        <w:t xml:space="preserve">Eesti Haigekassa </w:t>
      </w:r>
      <w:r>
        <w:rPr>
          <w:rFonts w:eastAsia="Calibri"/>
          <w:noProof/>
          <w:lang w:eastAsia="et-EE"/>
        </w:rPr>
        <w:t>k</w:t>
      </w:r>
      <w:r w:rsidRPr="00EF2B67">
        <w:rPr>
          <w:rFonts w:eastAsia="Calibri"/>
          <w:noProof/>
          <w:lang w:eastAsia="et-EE"/>
        </w:rPr>
        <w:t xml:space="preserve">valiteedi edenduse osakond </w:t>
      </w:r>
    </w:p>
    <w:p w14:paraId="53526714" w14:textId="57655C03" w:rsidR="00FB2E9E" w:rsidRPr="006B607A" w:rsidRDefault="00A379A7" w:rsidP="006B607A">
      <w:pPr>
        <w:suppressAutoHyphens w:val="0"/>
        <w:rPr>
          <w:rFonts w:eastAsia="Calibri"/>
          <w:b/>
          <w:bCs/>
          <w:noProof/>
          <w:lang w:eastAsia="et-EE"/>
        </w:rPr>
      </w:pPr>
      <w:r w:rsidRPr="00EF2B67">
        <w:rPr>
          <w:rFonts w:eastAsia="Calibri"/>
          <w:noProof/>
          <w:color w:val="000000"/>
          <w:lang w:eastAsia="et-EE"/>
        </w:rPr>
        <w:t>Sihtvaliku teema</w:t>
      </w:r>
      <w:r w:rsidR="001F5CB6">
        <w:rPr>
          <w:rFonts w:eastAsia="Calibri"/>
          <w:noProof/>
          <w:color w:val="000000"/>
          <w:lang w:eastAsia="et-EE"/>
        </w:rPr>
        <w:t>:</w:t>
      </w:r>
      <w:r w:rsidR="00200A25">
        <w:rPr>
          <w:rFonts w:eastAsia="Calibri"/>
          <w:noProof/>
          <w:color w:val="000000"/>
          <w:lang w:eastAsia="et-EE"/>
        </w:rPr>
        <w:t xml:space="preserve"> </w:t>
      </w:r>
      <w:r w:rsidR="00200A25" w:rsidRPr="00561907">
        <w:rPr>
          <w:rFonts w:eastAsia="Calibri"/>
          <w:b/>
          <w:lang w:eastAsia="et-EE"/>
        </w:rPr>
        <w:t>„</w:t>
      </w:r>
      <w:r w:rsidR="00200A25" w:rsidRPr="007E2835">
        <w:rPr>
          <w:b/>
          <w:bCs/>
        </w:rPr>
        <w:t>Statsionaarne hospiitsravi (teenus 2068)</w:t>
      </w:r>
      <w:r w:rsidR="00200A25" w:rsidRPr="00561907">
        <w:rPr>
          <w:rFonts w:eastAsia="Calibri"/>
          <w:b/>
        </w:rPr>
        <w:t>“</w:t>
      </w:r>
    </w:p>
    <w:p w14:paraId="52A526C5" w14:textId="77777777" w:rsidR="003922CC" w:rsidRPr="00AC3A03" w:rsidRDefault="00A379A7" w:rsidP="003922CC">
      <w:pPr>
        <w:autoSpaceDN w:val="0"/>
        <w:jc w:val="both"/>
        <w:textAlignment w:val="baseline"/>
        <w:rPr>
          <w:rFonts w:eastAsia="Calibri"/>
          <w:lang w:eastAsia="et-EE"/>
        </w:rPr>
      </w:pPr>
      <w:r w:rsidRPr="00EF2B67">
        <w:rPr>
          <w:rFonts w:eastAsia="Calibri"/>
          <w:noProof/>
          <w:lang w:eastAsia="et-EE"/>
        </w:rPr>
        <w:t xml:space="preserve">Ravidokumentide </w:t>
      </w:r>
      <w:r>
        <w:rPr>
          <w:rFonts w:eastAsia="Calibri"/>
          <w:noProof/>
          <w:lang w:eastAsia="et-EE"/>
        </w:rPr>
        <w:t xml:space="preserve">hindamise </w:t>
      </w:r>
      <w:r w:rsidRPr="00EF2B67">
        <w:rPr>
          <w:rFonts w:eastAsia="Calibri"/>
          <w:noProof/>
          <w:lang w:eastAsia="et-EE"/>
        </w:rPr>
        <w:t xml:space="preserve">periood: </w:t>
      </w:r>
      <w:r w:rsidR="003922CC" w:rsidRPr="00AC3A03">
        <w:rPr>
          <w:rFonts w:eastAsia="Calibri"/>
          <w:lang w:eastAsia="et-EE"/>
        </w:rPr>
        <w:t>2020. aasta 1. - 10. kuu.</w:t>
      </w:r>
    </w:p>
    <w:p w14:paraId="33733CA9" w14:textId="77777777" w:rsidR="003922CC" w:rsidRDefault="003922CC" w:rsidP="00187ECB">
      <w:pPr>
        <w:suppressAutoHyphens w:val="0"/>
        <w:jc w:val="both"/>
        <w:rPr>
          <w:rFonts w:eastAsia="Calibri"/>
          <w:b/>
          <w:noProof/>
          <w:color w:val="000000"/>
          <w:lang w:eastAsia="et-EE"/>
        </w:rPr>
      </w:pPr>
    </w:p>
    <w:p w14:paraId="4226A413" w14:textId="3555BEC3" w:rsidR="00A379A7" w:rsidRPr="00F0561A" w:rsidRDefault="00A379A7" w:rsidP="00F0561A">
      <w:pPr>
        <w:pStyle w:val="ListParagraph"/>
        <w:numPr>
          <w:ilvl w:val="0"/>
          <w:numId w:val="1"/>
        </w:numPr>
        <w:suppressAutoHyphens w:val="0"/>
        <w:jc w:val="both"/>
        <w:rPr>
          <w:rFonts w:eastAsia="Calibri"/>
          <w:b/>
          <w:noProof/>
          <w:color w:val="000000"/>
          <w:lang w:eastAsia="et-EE"/>
        </w:rPr>
      </w:pPr>
      <w:r w:rsidRPr="00F0561A">
        <w:rPr>
          <w:rFonts w:eastAsia="Calibri"/>
          <w:b/>
          <w:noProof/>
          <w:color w:val="000000"/>
          <w:lang w:eastAsia="et-EE"/>
        </w:rPr>
        <w:t>Üldandmed</w:t>
      </w:r>
    </w:p>
    <w:p w14:paraId="5F715580" w14:textId="77777777" w:rsidR="00A379A7" w:rsidRPr="00EF2B67" w:rsidRDefault="00A379A7" w:rsidP="005A7384">
      <w:pPr>
        <w:numPr>
          <w:ilvl w:val="1"/>
          <w:numId w:val="1"/>
        </w:numPr>
        <w:suppressAutoHyphens w:val="0"/>
        <w:spacing w:after="120"/>
        <w:ind w:left="709" w:hanging="425"/>
        <w:jc w:val="both"/>
        <w:rPr>
          <w:rFonts w:eastAsia="Calibri"/>
          <w:noProof/>
          <w:color w:val="000000"/>
          <w:lang w:eastAsia="et-EE"/>
        </w:rPr>
      </w:pPr>
      <w:r w:rsidRPr="00EF2B67">
        <w:rPr>
          <w:rFonts w:eastAsia="Calibri"/>
          <w:noProof/>
          <w:color w:val="000000"/>
          <w:lang w:eastAsia="et-EE"/>
        </w:rPr>
        <w:t xml:space="preserve"> Sihtvalikuga teostatud ravikindlustushüvitiste määramist ja väljamaksmist tõendavate dokumentide (RkhDok) </w:t>
      </w:r>
      <w:r>
        <w:rPr>
          <w:rFonts w:eastAsia="Calibri"/>
          <w:noProof/>
          <w:color w:val="000000"/>
          <w:lang w:eastAsia="et-EE"/>
        </w:rPr>
        <w:t>hindamine</w:t>
      </w:r>
    </w:p>
    <w:tbl>
      <w:tblPr>
        <w:tblW w:w="8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2"/>
        <w:gridCol w:w="1843"/>
        <w:gridCol w:w="2047"/>
        <w:gridCol w:w="2094"/>
      </w:tblGrid>
      <w:tr w:rsidR="00A379A7" w:rsidRPr="00EF2B67" w14:paraId="72FBC541" w14:textId="77777777" w:rsidTr="001D6319">
        <w:trPr>
          <w:trHeight w:val="20"/>
        </w:trPr>
        <w:tc>
          <w:tcPr>
            <w:tcW w:w="2542" w:type="dxa"/>
            <w:vMerge w:val="restart"/>
            <w:shd w:val="clear" w:color="auto" w:fill="B8CCE4"/>
            <w:vAlign w:val="center"/>
          </w:tcPr>
          <w:p w14:paraId="19E9FF39"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RkhDok nimetus</w:t>
            </w:r>
          </w:p>
        </w:tc>
        <w:tc>
          <w:tcPr>
            <w:tcW w:w="5984" w:type="dxa"/>
            <w:gridSpan w:val="3"/>
            <w:shd w:val="clear" w:color="auto" w:fill="B8CCE4"/>
            <w:vAlign w:val="center"/>
          </w:tcPr>
          <w:p w14:paraId="40F0DA84" w14:textId="77777777" w:rsidR="00A379A7" w:rsidRPr="00EF2B67" w:rsidRDefault="00A379A7" w:rsidP="005A7384">
            <w:pPr>
              <w:suppressAutoHyphens w:val="0"/>
              <w:ind w:left="57"/>
              <w:jc w:val="both"/>
              <w:rPr>
                <w:rFonts w:eastAsia="Calibri"/>
                <w:noProof/>
                <w:lang w:eastAsia="et-EE"/>
              </w:rPr>
            </w:pPr>
            <w:r>
              <w:rPr>
                <w:rFonts w:eastAsia="Calibri"/>
                <w:iCs/>
                <w:noProof/>
                <w:lang w:eastAsia="et-EE"/>
              </w:rPr>
              <w:t>Hinnatud</w:t>
            </w:r>
            <w:r w:rsidRPr="00EF2B67">
              <w:rPr>
                <w:rFonts w:eastAsia="Calibri"/>
                <w:iCs/>
                <w:noProof/>
                <w:lang w:eastAsia="et-EE"/>
              </w:rPr>
              <w:t xml:space="preserve"> RkhDok</w:t>
            </w:r>
            <w:r w:rsidRPr="00EF2B67">
              <w:rPr>
                <w:rFonts w:eastAsia="Calibri"/>
                <w:noProof/>
                <w:lang w:eastAsia="et-EE"/>
              </w:rPr>
              <w:t xml:space="preserve"> arv </w:t>
            </w:r>
          </w:p>
        </w:tc>
      </w:tr>
      <w:tr w:rsidR="00A379A7" w:rsidRPr="00EF2B67" w14:paraId="65C9DCE2" w14:textId="77777777" w:rsidTr="001D6319">
        <w:trPr>
          <w:trHeight w:val="20"/>
        </w:trPr>
        <w:tc>
          <w:tcPr>
            <w:tcW w:w="2542" w:type="dxa"/>
            <w:vMerge/>
            <w:shd w:val="clear" w:color="auto" w:fill="B8CCE4"/>
            <w:vAlign w:val="center"/>
          </w:tcPr>
          <w:p w14:paraId="3FCB3D82" w14:textId="77777777" w:rsidR="00A379A7" w:rsidRPr="00EF2B67" w:rsidRDefault="00A379A7" w:rsidP="005A7384">
            <w:pPr>
              <w:suppressAutoHyphens w:val="0"/>
              <w:ind w:left="57"/>
              <w:jc w:val="both"/>
              <w:rPr>
                <w:rFonts w:eastAsia="Calibri"/>
                <w:noProof/>
                <w:lang w:eastAsia="et-EE"/>
              </w:rPr>
            </w:pPr>
          </w:p>
        </w:tc>
        <w:tc>
          <w:tcPr>
            <w:tcW w:w="1843" w:type="dxa"/>
            <w:shd w:val="clear" w:color="auto" w:fill="B8CCE4"/>
            <w:vAlign w:val="center"/>
          </w:tcPr>
          <w:p w14:paraId="73037778"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Sihtvalikuga planeeritud</w:t>
            </w:r>
          </w:p>
        </w:tc>
        <w:tc>
          <w:tcPr>
            <w:tcW w:w="2047" w:type="dxa"/>
            <w:shd w:val="clear" w:color="auto" w:fill="B8CCE4"/>
            <w:vAlign w:val="center"/>
          </w:tcPr>
          <w:p w14:paraId="670B2F3A"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 xml:space="preserve">Kaasuvad ja </w:t>
            </w:r>
          </w:p>
          <w:p w14:paraId="331FAEFE"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lisajuhud</w:t>
            </w:r>
          </w:p>
        </w:tc>
        <w:tc>
          <w:tcPr>
            <w:tcW w:w="2094" w:type="dxa"/>
            <w:shd w:val="clear" w:color="auto" w:fill="B8CCE4"/>
            <w:vAlign w:val="center"/>
          </w:tcPr>
          <w:p w14:paraId="618927D4"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KOKKU</w:t>
            </w:r>
          </w:p>
        </w:tc>
      </w:tr>
      <w:tr w:rsidR="00A379A7" w:rsidRPr="00EF2B67" w14:paraId="6CB90AFC" w14:textId="77777777" w:rsidTr="001D6319">
        <w:trPr>
          <w:cantSplit/>
          <w:trHeight w:val="20"/>
        </w:trPr>
        <w:tc>
          <w:tcPr>
            <w:tcW w:w="2542" w:type="dxa"/>
          </w:tcPr>
          <w:p w14:paraId="0C2BC763"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Raviarved</w:t>
            </w:r>
          </w:p>
        </w:tc>
        <w:tc>
          <w:tcPr>
            <w:tcW w:w="1843" w:type="dxa"/>
          </w:tcPr>
          <w:p w14:paraId="068CC90E" w14:textId="18707766" w:rsidR="00A379A7" w:rsidRPr="00EF2B67" w:rsidRDefault="00FB2E9E" w:rsidP="005A7384">
            <w:pPr>
              <w:suppressAutoHyphens w:val="0"/>
              <w:ind w:left="57"/>
              <w:jc w:val="both"/>
              <w:rPr>
                <w:rFonts w:eastAsia="Calibri"/>
                <w:noProof/>
                <w:lang w:eastAsia="et-EE"/>
              </w:rPr>
            </w:pPr>
            <w:r>
              <w:rPr>
                <w:rFonts w:eastAsia="Calibri"/>
                <w:noProof/>
                <w:lang w:eastAsia="et-EE"/>
              </w:rPr>
              <w:t>2</w:t>
            </w:r>
            <w:r w:rsidR="00187ECB">
              <w:rPr>
                <w:rFonts w:eastAsia="Calibri"/>
                <w:noProof/>
                <w:lang w:eastAsia="et-EE"/>
              </w:rPr>
              <w:t>40</w:t>
            </w:r>
          </w:p>
        </w:tc>
        <w:tc>
          <w:tcPr>
            <w:tcW w:w="2047" w:type="dxa"/>
          </w:tcPr>
          <w:p w14:paraId="6209D861" w14:textId="54F3CE1F" w:rsidR="00A379A7" w:rsidRPr="00EF2B67" w:rsidRDefault="00FB2E9E" w:rsidP="005A7384">
            <w:pPr>
              <w:suppressAutoHyphens w:val="0"/>
              <w:ind w:left="57"/>
              <w:jc w:val="both"/>
              <w:rPr>
                <w:rFonts w:eastAsia="Calibri"/>
                <w:noProof/>
                <w:lang w:eastAsia="et-EE"/>
              </w:rPr>
            </w:pPr>
            <w:r>
              <w:rPr>
                <w:rFonts w:eastAsia="Calibri"/>
                <w:noProof/>
                <w:lang w:eastAsia="et-EE"/>
              </w:rPr>
              <w:t>0</w:t>
            </w:r>
          </w:p>
        </w:tc>
        <w:tc>
          <w:tcPr>
            <w:tcW w:w="2094" w:type="dxa"/>
          </w:tcPr>
          <w:p w14:paraId="2EBEE738" w14:textId="2F32B464" w:rsidR="00A379A7" w:rsidRPr="00EF2B67" w:rsidRDefault="00187ECB" w:rsidP="005A7384">
            <w:pPr>
              <w:suppressAutoHyphens w:val="0"/>
              <w:ind w:left="57"/>
              <w:jc w:val="both"/>
              <w:rPr>
                <w:rFonts w:eastAsia="Calibri"/>
                <w:noProof/>
                <w:lang w:eastAsia="et-EE"/>
              </w:rPr>
            </w:pPr>
            <w:r>
              <w:rPr>
                <w:rFonts w:eastAsia="Calibri"/>
                <w:noProof/>
                <w:lang w:eastAsia="et-EE"/>
              </w:rPr>
              <w:t>240</w:t>
            </w:r>
          </w:p>
        </w:tc>
      </w:tr>
      <w:tr w:rsidR="00A379A7" w:rsidRPr="00EF2B67" w14:paraId="764E5629" w14:textId="77777777" w:rsidTr="001D6319">
        <w:trPr>
          <w:cantSplit/>
          <w:trHeight w:val="20"/>
        </w:trPr>
        <w:tc>
          <w:tcPr>
            <w:tcW w:w="2542" w:type="dxa"/>
          </w:tcPr>
          <w:p w14:paraId="11E755DE"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Soodusretseptid</w:t>
            </w:r>
          </w:p>
        </w:tc>
        <w:tc>
          <w:tcPr>
            <w:tcW w:w="1843" w:type="dxa"/>
          </w:tcPr>
          <w:p w14:paraId="72D5E3E9" w14:textId="77777777" w:rsidR="00A379A7" w:rsidRPr="00EF2B67" w:rsidRDefault="00A379A7" w:rsidP="005A7384">
            <w:pPr>
              <w:suppressAutoHyphens w:val="0"/>
              <w:ind w:left="57"/>
              <w:jc w:val="both"/>
              <w:rPr>
                <w:rFonts w:eastAsia="Calibri"/>
                <w:noProof/>
                <w:lang w:eastAsia="et-EE"/>
              </w:rPr>
            </w:pPr>
          </w:p>
        </w:tc>
        <w:tc>
          <w:tcPr>
            <w:tcW w:w="2047" w:type="dxa"/>
          </w:tcPr>
          <w:p w14:paraId="12955FAD" w14:textId="77777777" w:rsidR="00A379A7" w:rsidRPr="00EF2B67" w:rsidRDefault="00A379A7" w:rsidP="005A7384">
            <w:pPr>
              <w:suppressAutoHyphens w:val="0"/>
              <w:ind w:left="57"/>
              <w:jc w:val="both"/>
              <w:rPr>
                <w:rFonts w:eastAsia="Calibri"/>
                <w:noProof/>
                <w:lang w:eastAsia="et-EE"/>
              </w:rPr>
            </w:pPr>
          </w:p>
        </w:tc>
        <w:tc>
          <w:tcPr>
            <w:tcW w:w="2094" w:type="dxa"/>
          </w:tcPr>
          <w:p w14:paraId="07843768" w14:textId="77777777" w:rsidR="00A379A7" w:rsidRPr="00EF2B67" w:rsidRDefault="00A379A7" w:rsidP="005A7384">
            <w:pPr>
              <w:suppressAutoHyphens w:val="0"/>
              <w:ind w:left="57"/>
              <w:jc w:val="both"/>
              <w:rPr>
                <w:rFonts w:eastAsia="Calibri"/>
                <w:noProof/>
                <w:lang w:eastAsia="et-EE"/>
              </w:rPr>
            </w:pPr>
          </w:p>
        </w:tc>
      </w:tr>
      <w:tr w:rsidR="00A379A7" w:rsidRPr="00EF2B67" w14:paraId="1F9264F3" w14:textId="77777777" w:rsidTr="001D6319">
        <w:trPr>
          <w:cantSplit/>
          <w:trHeight w:val="20"/>
        </w:trPr>
        <w:tc>
          <w:tcPr>
            <w:tcW w:w="2542" w:type="dxa"/>
          </w:tcPr>
          <w:p w14:paraId="364C6ABE"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Töövõimetuslehed</w:t>
            </w:r>
          </w:p>
        </w:tc>
        <w:tc>
          <w:tcPr>
            <w:tcW w:w="1843" w:type="dxa"/>
          </w:tcPr>
          <w:p w14:paraId="2CA7BAA4" w14:textId="77777777" w:rsidR="00A379A7" w:rsidRPr="00EF2B67" w:rsidRDefault="00A379A7" w:rsidP="005A7384">
            <w:pPr>
              <w:suppressAutoHyphens w:val="0"/>
              <w:ind w:left="57"/>
              <w:jc w:val="both"/>
              <w:rPr>
                <w:rFonts w:eastAsia="Calibri"/>
                <w:noProof/>
                <w:lang w:eastAsia="et-EE"/>
              </w:rPr>
            </w:pPr>
          </w:p>
        </w:tc>
        <w:tc>
          <w:tcPr>
            <w:tcW w:w="2047" w:type="dxa"/>
          </w:tcPr>
          <w:p w14:paraId="39AFE139" w14:textId="77777777" w:rsidR="00A379A7" w:rsidRPr="00EF2B67" w:rsidRDefault="00A379A7" w:rsidP="005A7384">
            <w:pPr>
              <w:suppressAutoHyphens w:val="0"/>
              <w:ind w:left="57"/>
              <w:jc w:val="both"/>
              <w:rPr>
                <w:rFonts w:eastAsia="Calibri"/>
                <w:noProof/>
                <w:lang w:eastAsia="et-EE"/>
              </w:rPr>
            </w:pPr>
          </w:p>
        </w:tc>
        <w:tc>
          <w:tcPr>
            <w:tcW w:w="2094" w:type="dxa"/>
          </w:tcPr>
          <w:p w14:paraId="2B6011AA" w14:textId="77777777" w:rsidR="00A379A7" w:rsidRPr="00EF2B67" w:rsidRDefault="00A379A7" w:rsidP="005A7384">
            <w:pPr>
              <w:suppressAutoHyphens w:val="0"/>
              <w:ind w:left="57"/>
              <w:jc w:val="both"/>
              <w:rPr>
                <w:rFonts w:eastAsia="Calibri"/>
                <w:noProof/>
                <w:lang w:eastAsia="et-EE"/>
              </w:rPr>
            </w:pPr>
          </w:p>
        </w:tc>
      </w:tr>
      <w:tr w:rsidR="00A379A7" w:rsidRPr="00EF2B67" w14:paraId="1404EE2D" w14:textId="77777777" w:rsidTr="001D6319">
        <w:trPr>
          <w:cantSplit/>
          <w:trHeight w:val="20"/>
        </w:trPr>
        <w:tc>
          <w:tcPr>
            <w:tcW w:w="2542" w:type="dxa"/>
            <w:tcBorders>
              <w:bottom w:val="single" w:sz="4" w:space="0" w:color="auto"/>
            </w:tcBorders>
          </w:tcPr>
          <w:p w14:paraId="4E378EF9"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Muud</w:t>
            </w:r>
          </w:p>
        </w:tc>
        <w:tc>
          <w:tcPr>
            <w:tcW w:w="1843" w:type="dxa"/>
            <w:tcBorders>
              <w:bottom w:val="single" w:sz="4" w:space="0" w:color="auto"/>
            </w:tcBorders>
          </w:tcPr>
          <w:p w14:paraId="4474D859" w14:textId="77777777" w:rsidR="00A379A7" w:rsidRPr="00EF2B67" w:rsidRDefault="00A379A7" w:rsidP="005A7384">
            <w:pPr>
              <w:suppressAutoHyphens w:val="0"/>
              <w:ind w:left="57"/>
              <w:jc w:val="both"/>
              <w:rPr>
                <w:rFonts w:eastAsia="Calibri"/>
                <w:noProof/>
                <w:lang w:eastAsia="et-EE"/>
              </w:rPr>
            </w:pPr>
          </w:p>
        </w:tc>
        <w:tc>
          <w:tcPr>
            <w:tcW w:w="2047" w:type="dxa"/>
            <w:tcBorders>
              <w:bottom w:val="single" w:sz="4" w:space="0" w:color="auto"/>
            </w:tcBorders>
          </w:tcPr>
          <w:p w14:paraId="519CABC4" w14:textId="77777777" w:rsidR="00A379A7" w:rsidRPr="00EF2B67" w:rsidRDefault="00A379A7" w:rsidP="005A7384">
            <w:pPr>
              <w:suppressAutoHyphens w:val="0"/>
              <w:ind w:left="57"/>
              <w:jc w:val="both"/>
              <w:rPr>
                <w:rFonts w:eastAsia="Calibri"/>
                <w:noProof/>
                <w:lang w:eastAsia="et-EE"/>
              </w:rPr>
            </w:pPr>
          </w:p>
        </w:tc>
        <w:tc>
          <w:tcPr>
            <w:tcW w:w="2094" w:type="dxa"/>
            <w:tcBorders>
              <w:bottom w:val="single" w:sz="4" w:space="0" w:color="auto"/>
            </w:tcBorders>
          </w:tcPr>
          <w:p w14:paraId="02766B74" w14:textId="77777777" w:rsidR="00A379A7" w:rsidRPr="00EF2B67" w:rsidRDefault="00A379A7" w:rsidP="005A7384">
            <w:pPr>
              <w:suppressAutoHyphens w:val="0"/>
              <w:ind w:left="57"/>
              <w:jc w:val="both"/>
              <w:rPr>
                <w:rFonts w:eastAsia="Calibri"/>
                <w:noProof/>
                <w:lang w:eastAsia="et-EE"/>
              </w:rPr>
            </w:pPr>
          </w:p>
        </w:tc>
      </w:tr>
      <w:tr w:rsidR="00A379A7" w:rsidRPr="00EF2B67" w14:paraId="0D242794" w14:textId="77777777" w:rsidTr="001D6319">
        <w:trPr>
          <w:cantSplit/>
          <w:trHeight w:val="20"/>
        </w:trPr>
        <w:tc>
          <w:tcPr>
            <w:tcW w:w="2542" w:type="dxa"/>
            <w:shd w:val="clear" w:color="auto" w:fill="C6D9F1"/>
          </w:tcPr>
          <w:p w14:paraId="1C31EE32"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KOKKU</w:t>
            </w:r>
          </w:p>
        </w:tc>
        <w:tc>
          <w:tcPr>
            <w:tcW w:w="1843" w:type="dxa"/>
            <w:shd w:val="clear" w:color="auto" w:fill="C6D9F1"/>
          </w:tcPr>
          <w:p w14:paraId="428BC756" w14:textId="5D8225BF" w:rsidR="00A379A7" w:rsidRPr="00EF2B67" w:rsidRDefault="00FB2E9E" w:rsidP="005A7384">
            <w:pPr>
              <w:suppressAutoHyphens w:val="0"/>
              <w:ind w:left="57"/>
              <w:jc w:val="both"/>
              <w:rPr>
                <w:rFonts w:eastAsia="Calibri"/>
                <w:noProof/>
                <w:lang w:eastAsia="et-EE"/>
              </w:rPr>
            </w:pPr>
            <w:r>
              <w:rPr>
                <w:rFonts w:eastAsia="Calibri"/>
                <w:noProof/>
                <w:lang w:eastAsia="et-EE"/>
              </w:rPr>
              <w:t>2</w:t>
            </w:r>
            <w:r w:rsidR="00187ECB">
              <w:rPr>
                <w:rFonts w:eastAsia="Calibri"/>
                <w:noProof/>
                <w:lang w:eastAsia="et-EE"/>
              </w:rPr>
              <w:t>40</w:t>
            </w:r>
          </w:p>
        </w:tc>
        <w:tc>
          <w:tcPr>
            <w:tcW w:w="2047" w:type="dxa"/>
            <w:shd w:val="clear" w:color="auto" w:fill="C6D9F1"/>
          </w:tcPr>
          <w:p w14:paraId="076AF98D" w14:textId="25D02116" w:rsidR="00A379A7" w:rsidRPr="00EF2B67" w:rsidRDefault="006C7C83" w:rsidP="005A7384">
            <w:pPr>
              <w:suppressAutoHyphens w:val="0"/>
              <w:ind w:left="57"/>
              <w:jc w:val="both"/>
              <w:rPr>
                <w:rFonts w:eastAsia="Calibri"/>
                <w:noProof/>
                <w:lang w:eastAsia="et-EE"/>
              </w:rPr>
            </w:pPr>
            <w:r>
              <w:rPr>
                <w:rFonts w:eastAsia="Calibri"/>
                <w:noProof/>
                <w:lang w:eastAsia="et-EE"/>
              </w:rPr>
              <w:t>0</w:t>
            </w:r>
          </w:p>
        </w:tc>
        <w:tc>
          <w:tcPr>
            <w:tcW w:w="2094" w:type="dxa"/>
            <w:shd w:val="clear" w:color="auto" w:fill="C6D9F1"/>
          </w:tcPr>
          <w:p w14:paraId="2DF43864" w14:textId="6CC74D72" w:rsidR="00A379A7" w:rsidRPr="00EF2B67" w:rsidRDefault="00187ECB" w:rsidP="005A7384">
            <w:pPr>
              <w:suppressAutoHyphens w:val="0"/>
              <w:ind w:left="57"/>
              <w:jc w:val="both"/>
              <w:rPr>
                <w:rFonts w:eastAsia="Calibri"/>
                <w:noProof/>
                <w:lang w:eastAsia="et-EE"/>
              </w:rPr>
            </w:pPr>
            <w:r>
              <w:rPr>
                <w:rFonts w:eastAsia="Calibri"/>
                <w:noProof/>
                <w:lang w:eastAsia="et-EE"/>
              </w:rPr>
              <w:t>240</w:t>
            </w:r>
          </w:p>
        </w:tc>
      </w:tr>
    </w:tbl>
    <w:p w14:paraId="3F0F04AD" w14:textId="77777777" w:rsidR="00A379A7" w:rsidRPr="00EF2B67" w:rsidRDefault="00A379A7" w:rsidP="005A7384">
      <w:pPr>
        <w:suppressAutoHyphens w:val="0"/>
        <w:ind w:left="57"/>
        <w:jc w:val="both"/>
        <w:rPr>
          <w:rFonts w:eastAsia="Calibri"/>
          <w:noProof/>
          <w:color w:val="000000"/>
          <w:lang w:eastAsia="et-EE"/>
        </w:rPr>
      </w:pPr>
    </w:p>
    <w:p w14:paraId="3E332542" w14:textId="77777777" w:rsidR="00A379A7" w:rsidRPr="00EF2B67" w:rsidRDefault="00A379A7" w:rsidP="005A7384">
      <w:pPr>
        <w:suppressAutoHyphens w:val="0"/>
        <w:jc w:val="both"/>
        <w:rPr>
          <w:rFonts w:eastAsia="Calibri"/>
          <w:color w:val="000000"/>
          <w:lang w:eastAsia="et-EE"/>
        </w:rPr>
      </w:pPr>
    </w:p>
    <w:p w14:paraId="4B292899" w14:textId="77777777" w:rsidR="00A379A7" w:rsidRPr="00EF2B67" w:rsidRDefault="00A379A7" w:rsidP="005A7384">
      <w:pPr>
        <w:numPr>
          <w:ilvl w:val="1"/>
          <w:numId w:val="1"/>
        </w:numPr>
        <w:suppressAutoHyphens w:val="0"/>
        <w:spacing w:after="120"/>
        <w:ind w:left="454" w:hanging="284"/>
        <w:jc w:val="both"/>
        <w:rPr>
          <w:rFonts w:eastAsia="Calibri"/>
          <w:color w:val="000000"/>
          <w:lang w:eastAsia="et-EE"/>
        </w:rPr>
      </w:pPr>
      <w:r w:rsidRPr="00EF2B67">
        <w:rPr>
          <w:rFonts w:eastAsia="Calibri"/>
          <w:color w:val="000000"/>
          <w:lang w:eastAsia="et-EE"/>
        </w:rPr>
        <w:t xml:space="preserve">Hinnang </w:t>
      </w:r>
      <w:r w:rsidRPr="00EF2B67">
        <w:rPr>
          <w:rFonts w:eastAsia="Calibri"/>
          <w:lang w:eastAsia="et-EE"/>
        </w:rPr>
        <w:t>tervishoiuteenuste osutamist tõendavate dokumentide kohta</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1701"/>
        <w:gridCol w:w="1843"/>
        <w:gridCol w:w="2126"/>
        <w:gridCol w:w="1559"/>
      </w:tblGrid>
      <w:tr w:rsidR="00A379A7" w:rsidRPr="00EF2B67" w14:paraId="732F9621" w14:textId="77777777" w:rsidTr="001D6319">
        <w:trPr>
          <w:trHeight w:val="20"/>
        </w:trPr>
        <w:tc>
          <w:tcPr>
            <w:tcW w:w="2425" w:type="dxa"/>
            <w:tcBorders>
              <w:bottom w:val="single" w:sz="4" w:space="0" w:color="auto"/>
            </w:tcBorders>
            <w:shd w:val="clear" w:color="auto" w:fill="B8CCE4"/>
            <w:vAlign w:val="center"/>
          </w:tcPr>
          <w:p w14:paraId="05074456" w14:textId="77777777" w:rsidR="00A379A7" w:rsidRPr="00EF2B67" w:rsidRDefault="00A379A7" w:rsidP="005A7384">
            <w:pPr>
              <w:suppressAutoHyphens w:val="0"/>
              <w:ind w:left="57"/>
              <w:jc w:val="both"/>
              <w:rPr>
                <w:rFonts w:eastAsia="Calibri"/>
                <w:noProof/>
                <w:lang w:eastAsia="et-EE"/>
              </w:rPr>
            </w:pPr>
            <w:r>
              <w:rPr>
                <w:rFonts w:eastAsia="Calibri"/>
                <w:noProof/>
                <w:lang w:eastAsia="et-EE"/>
              </w:rPr>
              <w:t xml:space="preserve">Hinnatud </w:t>
            </w:r>
            <w:r w:rsidRPr="00EF2B67">
              <w:rPr>
                <w:rFonts w:eastAsia="Calibri"/>
                <w:noProof/>
                <w:lang w:eastAsia="et-EE"/>
              </w:rPr>
              <w:t>ravidokumentide liik</w:t>
            </w:r>
          </w:p>
        </w:tc>
        <w:tc>
          <w:tcPr>
            <w:tcW w:w="1701" w:type="dxa"/>
            <w:tcBorders>
              <w:bottom w:val="single" w:sz="4" w:space="0" w:color="auto"/>
            </w:tcBorders>
            <w:shd w:val="clear" w:color="auto" w:fill="B8CCE4"/>
            <w:vAlign w:val="center"/>
          </w:tcPr>
          <w:p w14:paraId="02D5470D" w14:textId="77777777" w:rsidR="00A379A7" w:rsidRPr="00EF2B67" w:rsidRDefault="00A379A7" w:rsidP="005A7384">
            <w:pPr>
              <w:suppressAutoHyphens w:val="0"/>
              <w:ind w:left="57"/>
              <w:jc w:val="both"/>
              <w:rPr>
                <w:rFonts w:eastAsia="Calibri"/>
                <w:noProof/>
                <w:lang w:eastAsia="et-EE"/>
              </w:rPr>
            </w:pPr>
            <w:r>
              <w:rPr>
                <w:rFonts w:eastAsia="Calibri"/>
                <w:noProof/>
                <w:lang w:eastAsia="et-EE"/>
              </w:rPr>
              <w:t>Hinnatud</w:t>
            </w:r>
            <w:r w:rsidRPr="00EF2B67">
              <w:rPr>
                <w:rFonts w:eastAsia="Calibri"/>
                <w:noProof/>
                <w:lang w:eastAsia="et-EE"/>
              </w:rPr>
              <w:t xml:space="preserve"> ravidokumentide arv</w:t>
            </w:r>
          </w:p>
        </w:tc>
        <w:tc>
          <w:tcPr>
            <w:tcW w:w="1843" w:type="dxa"/>
            <w:tcBorders>
              <w:bottom w:val="single" w:sz="4" w:space="0" w:color="auto"/>
            </w:tcBorders>
            <w:shd w:val="clear" w:color="auto" w:fill="B8CCE4"/>
          </w:tcPr>
          <w:p w14:paraId="4B136CDA" w14:textId="77777777" w:rsidR="00A379A7" w:rsidRPr="00EF2B67" w:rsidRDefault="00A379A7" w:rsidP="005A7384">
            <w:pPr>
              <w:suppressAutoHyphens w:val="0"/>
              <w:ind w:left="57"/>
              <w:jc w:val="both"/>
              <w:rPr>
                <w:rFonts w:eastAsia="Calibri"/>
                <w:noProof/>
                <w:lang w:eastAsia="et-EE"/>
              </w:rPr>
            </w:pPr>
            <w:r w:rsidRPr="00EF2B67">
              <w:rPr>
                <w:rFonts w:eastAsia="Calibri"/>
                <w:iCs/>
                <w:noProof/>
                <w:lang w:eastAsia="et-EE"/>
              </w:rPr>
              <w:t xml:space="preserve">RkhDok </w:t>
            </w:r>
            <w:r w:rsidRPr="00EF2B67">
              <w:rPr>
                <w:rFonts w:eastAsia="Calibri"/>
                <w:noProof/>
                <w:lang w:eastAsia="et-EE"/>
              </w:rPr>
              <w:t>arv (%*), mille osas tehti märkused (nõudeavaldusi ei esitatud)</w:t>
            </w:r>
          </w:p>
        </w:tc>
        <w:tc>
          <w:tcPr>
            <w:tcW w:w="2126" w:type="dxa"/>
            <w:tcBorders>
              <w:bottom w:val="single" w:sz="4" w:space="0" w:color="auto"/>
            </w:tcBorders>
            <w:shd w:val="clear" w:color="auto" w:fill="B8CCE4"/>
            <w:vAlign w:val="center"/>
          </w:tcPr>
          <w:p w14:paraId="4343CAB4" w14:textId="77777777" w:rsidR="00A379A7" w:rsidRPr="00EF2B67" w:rsidRDefault="00A379A7" w:rsidP="005A7384">
            <w:pPr>
              <w:suppressAutoHyphens w:val="0"/>
              <w:ind w:left="57"/>
              <w:jc w:val="both"/>
              <w:rPr>
                <w:rFonts w:eastAsia="Calibri"/>
                <w:noProof/>
                <w:highlight w:val="yellow"/>
                <w:lang w:eastAsia="et-EE"/>
              </w:rPr>
            </w:pPr>
            <w:r>
              <w:rPr>
                <w:rFonts w:eastAsia="Calibri"/>
                <w:noProof/>
                <w:lang w:eastAsia="et-EE"/>
              </w:rPr>
              <w:t>Hindamise</w:t>
            </w:r>
            <w:r w:rsidRPr="00EF2B67">
              <w:rPr>
                <w:rFonts w:eastAsia="Calibri"/>
                <w:noProof/>
                <w:lang w:eastAsia="et-EE"/>
              </w:rPr>
              <w:t xml:space="preserve"> tulemusel </w:t>
            </w:r>
            <w:r w:rsidRPr="00EF2B67">
              <w:rPr>
                <w:rFonts w:eastAsia="Calibri"/>
                <w:noProof/>
                <w:color w:val="000000"/>
                <w:lang w:eastAsia="et-EE"/>
              </w:rPr>
              <w:t xml:space="preserve">NO-le nõudeavalduse koostamiseks esitatud </w:t>
            </w:r>
            <w:r w:rsidRPr="00EF2B67">
              <w:rPr>
                <w:rFonts w:eastAsia="Calibri"/>
                <w:iCs/>
                <w:noProof/>
                <w:lang w:eastAsia="et-EE"/>
              </w:rPr>
              <w:t>RkhDok</w:t>
            </w:r>
            <w:r w:rsidRPr="00EF2B67">
              <w:rPr>
                <w:rFonts w:eastAsia="Calibri"/>
                <w:noProof/>
                <w:lang w:eastAsia="et-EE"/>
              </w:rPr>
              <w:t xml:space="preserve"> ar</w:t>
            </w:r>
            <w:r w:rsidRPr="00EF2B67">
              <w:rPr>
                <w:rFonts w:eastAsia="Calibri"/>
                <w:noProof/>
                <w:color w:val="000000"/>
                <w:lang w:eastAsia="et-EE"/>
              </w:rPr>
              <w:t>v (%*)</w:t>
            </w:r>
          </w:p>
        </w:tc>
        <w:tc>
          <w:tcPr>
            <w:tcW w:w="1559" w:type="dxa"/>
            <w:tcBorders>
              <w:bottom w:val="single" w:sz="4" w:space="0" w:color="auto"/>
            </w:tcBorders>
            <w:shd w:val="clear" w:color="auto" w:fill="B8CCE4"/>
            <w:vAlign w:val="center"/>
          </w:tcPr>
          <w:p w14:paraId="1AC42E44" w14:textId="77777777" w:rsidR="00A379A7" w:rsidRPr="00EF2B67" w:rsidRDefault="00A379A7" w:rsidP="005A7384">
            <w:pPr>
              <w:suppressAutoHyphens w:val="0"/>
              <w:ind w:left="57"/>
              <w:jc w:val="both"/>
              <w:rPr>
                <w:rFonts w:eastAsia="Calibri"/>
                <w:noProof/>
                <w:highlight w:val="yellow"/>
                <w:lang w:eastAsia="et-EE"/>
              </w:rPr>
            </w:pPr>
            <w:r w:rsidRPr="00EF2B67">
              <w:rPr>
                <w:rFonts w:eastAsia="Calibri"/>
                <w:noProof/>
                <w:lang w:eastAsia="et-EE"/>
              </w:rPr>
              <w:t xml:space="preserve">NO-le </w:t>
            </w:r>
            <w:r w:rsidRPr="00EF2B67">
              <w:rPr>
                <w:rFonts w:eastAsia="Calibri"/>
                <w:noProof/>
                <w:color w:val="000000"/>
                <w:lang w:eastAsia="et-EE"/>
              </w:rPr>
              <w:t>nõudeavalduse koostamiseks esitatud</w:t>
            </w:r>
            <w:r w:rsidRPr="00EF2B67">
              <w:rPr>
                <w:rFonts w:eastAsia="Calibri"/>
                <w:noProof/>
                <w:lang w:eastAsia="et-EE"/>
              </w:rPr>
              <w:t xml:space="preserve"> nõude summa (EUR), %**</w:t>
            </w:r>
          </w:p>
        </w:tc>
      </w:tr>
      <w:tr w:rsidR="00A379A7" w:rsidRPr="00EF2B67" w14:paraId="6443EE65" w14:textId="77777777" w:rsidTr="001D6319">
        <w:trPr>
          <w:cantSplit/>
          <w:trHeight w:val="20"/>
        </w:trPr>
        <w:tc>
          <w:tcPr>
            <w:tcW w:w="2425" w:type="dxa"/>
          </w:tcPr>
          <w:p w14:paraId="039F6F5F"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Tervisekaart üldarstiabis</w:t>
            </w:r>
          </w:p>
        </w:tc>
        <w:tc>
          <w:tcPr>
            <w:tcW w:w="1701" w:type="dxa"/>
          </w:tcPr>
          <w:p w14:paraId="16803AE6" w14:textId="77777777" w:rsidR="00A379A7" w:rsidRPr="00EF2B67" w:rsidRDefault="00A379A7" w:rsidP="005A7384">
            <w:pPr>
              <w:suppressAutoHyphens w:val="0"/>
              <w:ind w:left="57"/>
              <w:jc w:val="both"/>
              <w:rPr>
                <w:rFonts w:eastAsia="Calibri"/>
                <w:noProof/>
                <w:lang w:eastAsia="et-EE"/>
              </w:rPr>
            </w:pPr>
          </w:p>
        </w:tc>
        <w:tc>
          <w:tcPr>
            <w:tcW w:w="1843" w:type="dxa"/>
          </w:tcPr>
          <w:p w14:paraId="5060438C" w14:textId="77777777" w:rsidR="00A379A7" w:rsidRPr="00EF2B67" w:rsidRDefault="00A379A7" w:rsidP="005A7384">
            <w:pPr>
              <w:suppressAutoHyphens w:val="0"/>
              <w:ind w:left="57"/>
              <w:jc w:val="both"/>
              <w:rPr>
                <w:rFonts w:eastAsia="Calibri"/>
                <w:noProof/>
                <w:highlight w:val="yellow"/>
                <w:lang w:eastAsia="et-EE"/>
              </w:rPr>
            </w:pPr>
          </w:p>
        </w:tc>
        <w:tc>
          <w:tcPr>
            <w:tcW w:w="2126" w:type="dxa"/>
          </w:tcPr>
          <w:p w14:paraId="180C4254" w14:textId="77777777" w:rsidR="00A379A7" w:rsidRPr="00EF2B67" w:rsidRDefault="00A379A7" w:rsidP="005A7384">
            <w:pPr>
              <w:suppressAutoHyphens w:val="0"/>
              <w:ind w:left="57"/>
              <w:jc w:val="both"/>
              <w:rPr>
                <w:rFonts w:eastAsia="Calibri"/>
                <w:noProof/>
                <w:highlight w:val="yellow"/>
                <w:lang w:eastAsia="et-EE"/>
              </w:rPr>
            </w:pPr>
          </w:p>
        </w:tc>
        <w:tc>
          <w:tcPr>
            <w:tcW w:w="1559" w:type="dxa"/>
          </w:tcPr>
          <w:p w14:paraId="29595CA5" w14:textId="77777777" w:rsidR="00A379A7" w:rsidRPr="00EF2B67" w:rsidRDefault="00A379A7" w:rsidP="005A7384">
            <w:pPr>
              <w:suppressAutoHyphens w:val="0"/>
              <w:ind w:left="57"/>
              <w:jc w:val="both"/>
              <w:rPr>
                <w:rFonts w:eastAsia="Calibri"/>
                <w:noProof/>
                <w:highlight w:val="yellow"/>
                <w:lang w:eastAsia="et-EE"/>
              </w:rPr>
            </w:pPr>
          </w:p>
        </w:tc>
      </w:tr>
      <w:tr w:rsidR="00A379A7" w:rsidRPr="00EF2B67" w14:paraId="6E635F17" w14:textId="77777777" w:rsidTr="001D6319">
        <w:trPr>
          <w:cantSplit/>
          <w:trHeight w:val="20"/>
        </w:trPr>
        <w:tc>
          <w:tcPr>
            <w:tcW w:w="2425" w:type="dxa"/>
          </w:tcPr>
          <w:p w14:paraId="1D1D8B56"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Tervisekaart eriarstiabis</w:t>
            </w:r>
          </w:p>
        </w:tc>
        <w:tc>
          <w:tcPr>
            <w:tcW w:w="1701" w:type="dxa"/>
          </w:tcPr>
          <w:p w14:paraId="11771246" w14:textId="5E1E833A" w:rsidR="00A379A7" w:rsidRPr="00EF2B67" w:rsidRDefault="00A379A7" w:rsidP="005A7384">
            <w:pPr>
              <w:suppressAutoHyphens w:val="0"/>
              <w:ind w:left="57"/>
              <w:jc w:val="both"/>
              <w:rPr>
                <w:rFonts w:eastAsia="Calibri"/>
                <w:noProof/>
                <w:lang w:eastAsia="et-EE"/>
              </w:rPr>
            </w:pPr>
          </w:p>
        </w:tc>
        <w:tc>
          <w:tcPr>
            <w:tcW w:w="1843" w:type="dxa"/>
          </w:tcPr>
          <w:p w14:paraId="2004CB78" w14:textId="4F689796" w:rsidR="00A379A7" w:rsidRPr="00FB2E9E" w:rsidRDefault="00A379A7" w:rsidP="005A7384">
            <w:pPr>
              <w:suppressAutoHyphens w:val="0"/>
              <w:ind w:left="57"/>
              <w:jc w:val="both"/>
              <w:rPr>
                <w:rFonts w:eastAsia="Calibri"/>
                <w:noProof/>
                <w:lang w:eastAsia="et-EE"/>
              </w:rPr>
            </w:pPr>
          </w:p>
        </w:tc>
        <w:tc>
          <w:tcPr>
            <w:tcW w:w="2126" w:type="dxa"/>
          </w:tcPr>
          <w:p w14:paraId="72FE6B5F" w14:textId="539D3577" w:rsidR="00A379A7" w:rsidRPr="00FB2E9E" w:rsidRDefault="00A379A7" w:rsidP="005A7384">
            <w:pPr>
              <w:suppressAutoHyphens w:val="0"/>
              <w:ind w:left="57"/>
              <w:jc w:val="both"/>
              <w:rPr>
                <w:rFonts w:eastAsia="Calibri"/>
                <w:noProof/>
                <w:lang w:eastAsia="et-EE"/>
              </w:rPr>
            </w:pPr>
          </w:p>
        </w:tc>
        <w:tc>
          <w:tcPr>
            <w:tcW w:w="1559" w:type="dxa"/>
          </w:tcPr>
          <w:p w14:paraId="2569FEDE" w14:textId="47ED9050" w:rsidR="00A379A7" w:rsidRPr="00FB2E9E" w:rsidRDefault="00A379A7" w:rsidP="005A7384">
            <w:pPr>
              <w:suppressAutoHyphens w:val="0"/>
              <w:ind w:left="57"/>
              <w:jc w:val="both"/>
              <w:rPr>
                <w:rFonts w:eastAsia="Calibri"/>
                <w:noProof/>
                <w:lang w:eastAsia="et-EE"/>
              </w:rPr>
            </w:pPr>
          </w:p>
        </w:tc>
      </w:tr>
      <w:tr w:rsidR="00A379A7" w:rsidRPr="00EF2B67" w14:paraId="78D65C45" w14:textId="77777777" w:rsidTr="001D6319">
        <w:trPr>
          <w:cantSplit/>
          <w:trHeight w:val="20"/>
        </w:trPr>
        <w:tc>
          <w:tcPr>
            <w:tcW w:w="2425" w:type="dxa"/>
          </w:tcPr>
          <w:p w14:paraId="7543EA64"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Hambaravikaart</w:t>
            </w:r>
          </w:p>
        </w:tc>
        <w:tc>
          <w:tcPr>
            <w:tcW w:w="1701" w:type="dxa"/>
          </w:tcPr>
          <w:p w14:paraId="4983F40A" w14:textId="77777777" w:rsidR="00A379A7" w:rsidRPr="00EF2B67" w:rsidRDefault="00A379A7" w:rsidP="005A7384">
            <w:pPr>
              <w:suppressAutoHyphens w:val="0"/>
              <w:ind w:left="57"/>
              <w:jc w:val="both"/>
              <w:rPr>
                <w:rFonts w:eastAsia="Calibri"/>
                <w:noProof/>
                <w:lang w:eastAsia="et-EE"/>
              </w:rPr>
            </w:pPr>
          </w:p>
        </w:tc>
        <w:tc>
          <w:tcPr>
            <w:tcW w:w="1843" w:type="dxa"/>
          </w:tcPr>
          <w:p w14:paraId="66360B42" w14:textId="77777777" w:rsidR="00A379A7" w:rsidRPr="00FB2E9E" w:rsidRDefault="00A379A7" w:rsidP="005A7384">
            <w:pPr>
              <w:suppressAutoHyphens w:val="0"/>
              <w:ind w:left="57"/>
              <w:jc w:val="both"/>
              <w:rPr>
                <w:rFonts w:eastAsia="Calibri"/>
                <w:noProof/>
                <w:lang w:eastAsia="et-EE"/>
              </w:rPr>
            </w:pPr>
          </w:p>
        </w:tc>
        <w:tc>
          <w:tcPr>
            <w:tcW w:w="2126" w:type="dxa"/>
          </w:tcPr>
          <w:p w14:paraId="425AC4D5" w14:textId="77777777" w:rsidR="00A379A7" w:rsidRPr="00FB2E9E" w:rsidRDefault="00A379A7" w:rsidP="005A7384">
            <w:pPr>
              <w:suppressAutoHyphens w:val="0"/>
              <w:ind w:left="57"/>
              <w:jc w:val="both"/>
              <w:rPr>
                <w:rFonts w:eastAsia="Calibri"/>
                <w:noProof/>
                <w:lang w:eastAsia="et-EE"/>
              </w:rPr>
            </w:pPr>
          </w:p>
        </w:tc>
        <w:tc>
          <w:tcPr>
            <w:tcW w:w="1559" w:type="dxa"/>
          </w:tcPr>
          <w:p w14:paraId="2F3E01C3" w14:textId="77777777" w:rsidR="00A379A7" w:rsidRPr="00FB2E9E" w:rsidRDefault="00A379A7" w:rsidP="005A7384">
            <w:pPr>
              <w:suppressAutoHyphens w:val="0"/>
              <w:ind w:left="57"/>
              <w:jc w:val="both"/>
              <w:rPr>
                <w:rFonts w:eastAsia="Calibri"/>
                <w:noProof/>
                <w:lang w:eastAsia="et-EE"/>
              </w:rPr>
            </w:pPr>
          </w:p>
        </w:tc>
      </w:tr>
      <w:tr w:rsidR="00A379A7" w:rsidRPr="00EF2B67" w14:paraId="6189BF9A" w14:textId="77777777" w:rsidTr="001D6319">
        <w:trPr>
          <w:cantSplit/>
          <w:trHeight w:val="20"/>
        </w:trPr>
        <w:tc>
          <w:tcPr>
            <w:tcW w:w="2425" w:type="dxa"/>
          </w:tcPr>
          <w:p w14:paraId="529EB961"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Haiguslugu</w:t>
            </w:r>
          </w:p>
        </w:tc>
        <w:tc>
          <w:tcPr>
            <w:tcW w:w="1701" w:type="dxa"/>
          </w:tcPr>
          <w:p w14:paraId="2E3A90E3" w14:textId="4CAD1286" w:rsidR="00A379A7" w:rsidRPr="00EF2B67" w:rsidRDefault="00C82554" w:rsidP="005A7384">
            <w:pPr>
              <w:suppressAutoHyphens w:val="0"/>
              <w:ind w:left="57"/>
              <w:jc w:val="both"/>
              <w:rPr>
                <w:rFonts w:eastAsia="Calibri"/>
                <w:noProof/>
                <w:lang w:eastAsia="et-EE"/>
              </w:rPr>
            </w:pPr>
            <w:r>
              <w:rPr>
                <w:rFonts w:eastAsia="Calibri"/>
                <w:noProof/>
                <w:lang w:eastAsia="et-EE"/>
              </w:rPr>
              <w:t>240</w:t>
            </w:r>
          </w:p>
        </w:tc>
        <w:tc>
          <w:tcPr>
            <w:tcW w:w="1843" w:type="dxa"/>
          </w:tcPr>
          <w:p w14:paraId="17D5155B" w14:textId="5446E4C8" w:rsidR="00A379A7" w:rsidRPr="00FB2E9E" w:rsidRDefault="00CE7240" w:rsidP="005A7384">
            <w:pPr>
              <w:suppressAutoHyphens w:val="0"/>
              <w:ind w:left="57"/>
              <w:jc w:val="both"/>
              <w:rPr>
                <w:rFonts w:eastAsia="Calibri"/>
                <w:noProof/>
                <w:lang w:eastAsia="et-EE"/>
              </w:rPr>
            </w:pPr>
            <w:r>
              <w:rPr>
                <w:rFonts w:eastAsia="Calibri"/>
                <w:noProof/>
                <w:lang w:eastAsia="et-EE"/>
              </w:rPr>
              <w:t>0</w:t>
            </w:r>
          </w:p>
        </w:tc>
        <w:tc>
          <w:tcPr>
            <w:tcW w:w="2126" w:type="dxa"/>
          </w:tcPr>
          <w:p w14:paraId="64A10312" w14:textId="3C113EDC" w:rsidR="00A379A7" w:rsidRPr="00FB2E9E" w:rsidRDefault="005D434F" w:rsidP="005A7384">
            <w:pPr>
              <w:suppressAutoHyphens w:val="0"/>
              <w:ind w:left="57"/>
              <w:jc w:val="both"/>
              <w:rPr>
                <w:rFonts w:eastAsia="Calibri"/>
                <w:noProof/>
                <w:lang w:eastAsia="et-EE"/>
              </w:rPr>
            </w:pPr>
            <w:r>
              <w:rPr>
                <w:rFonts w:eastAsia="Calibri"/>
                <w:noProof/>
                <w:lang w:eastAsia="et-EE"/>
              </w:rPr>
              <w:t>0</w:t>
            </w:r>
          </w:p>
        </w:tc>
        <w:tc>
          <w:tcPr>
            <w:tcW w:w="1559" w:type="dxa"/>
          </w:tcPr>
          <w:p w14:paraId="0FFFC087" w14:textId="4BDF1A00" w:rsidR="00A379A7" w:rsidRPr="00FB2E9E" w:rsidRDefault="00C82554" w:rsidP="005A7384">
            <w:pPr>
              <w:suppressAutoHyphens w:val="0"/>
              <w:ind w:left="57"/>
              <w:jc w:val="both"/>
              <w:rPr>
                <w:rFonts w:eastAsia="Calibri"/>
                <w:noProof/>
                <w:lang w:eastAsia="et-EE"/>
              </w:rPr>
            </w:pPr>
            <w:r>
              <w:rPr>
                <w:rFonts w:eastAsia="Calibri"/>
                <w:noProof/>
                <w:lang w:eastAsia="et-EE"/>
              </w:rPr>
              <w:t>0</w:t>
            </w:r>
          </w:p>
        </w:tc>
      </w:tr>
      <w:tr w:rsidR="00A379A7" w:rsidRPr="00EF2B67" w14:paraId="58F196A7" w14:textId="77777777" w:rsidTr="001D6319">
        <w:trPr>
          <w:cantSplit/>
          <w:trHeight w:val="20"/>
        </w:trPr>
        <w:tc>
          <w:tcPr>
            <w:tcW w:w="2425" w:type="dxa"/>
            <w:tcBorders>
              <w:bottom w:val="single" w:sz="4" w:space="0" w:color="auto"/>
            </w:tcBorders>
          </w:tcPr>
          <w:p w14:paraId="7C885880"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Muu</w:t>
            </w:r>
          </w:p>
        </w:tc>
        <w:tc>
          <w:tcPr>
            <w:tcW w:w="1701" w:type="dxa"/>
            <w:tcBorders>
              <w:bottom w:val="single" w:sz="4" w:space="0" w:color="auto"/>
            </w:tcBorders>
          </w:tcPr>
          <w:p w14:paraId="15B81360" w14:textId="77777777" w:rsidR="00A379A7" w:rsidRPr="00EF2B67" w:rsidRDefault="00A379A7" w:rsidP="005A7384">
            <w:pPr>
              <w:suppressAutoHyphens w:val="0"/>
              <w:ind w:left="57"/>
              <w:jc w:val="both"/>
              <w:rPr>
                <w:rFonts w:eastAsia="Calibri"/>
                <w:noProof/>
                <w:lang w:eastAsia="et-EE"/>
              </w:rPr>
            </w:pPr>
          </w:p>
        </w:tc>
        <w:tc>
          <w:tcPr>
            <w:tcW w:w="1843" w:type="dxa"/>
            <w:tcBorders>
              <w:bottom w:val="single" w:sz="4" w:space="0" w:color="auto"/>
            </w:tcBorders>
          </w:tcPr>
          <w:p w14:paraId="51CBFA81" w14:textId="77777777" w:rsidR="00A379A7" w:rsidRPr="00EF2B67" w:rsidRDefault="00A379A7" w:rsidP="005A7384">
            <w:pPr>
              <w:suppressAutoHyphens w:val="0"/>
              <w:ind w:left="57"/>
              <w:jc w:val="both"/>
              <w:rPr>
                <w:rFonts w:eastAsia="Calibri"/>
                <w:noProof/>
                <w:highlight w:val="yellow"/>
                <w:lang w:eastAsia="et-EE"/>
              </w:rPr>
            </w:pPr>
          </w:p>
        </w:tc>
        <w:tc>
          <w:tcPr>
            <w:tcW w:w="2126" w:type="dxa"/>
            <w:tcBorders>
              <w:bottom w:val="single" w:sz="4" w:space="0" w:color="auto"/>
            </w:tcBorders>
          </w:tcPr>
          <w:p w14:paraId="1955FC49" w14:textId="77777777" w:rsidR="00A379A7" w:rsidRPr="00EF2B67" w:rsidRDefault="00A379A7" w:rsidP="005A7384">
            <w:pPr>
              <w:suppressAutoHyphens w:val="0"/>
              <w:ind w:left="57"/>
              <w:jc w:val="both"/>
              <w:rPr>
                <w:rFonts w:eastAsia="Calibri"/>
                <w:noProof/>
                <w:highlight w:val="yellow"/>
                <w:lang w:eastAsia="et-EE"/>
              </w:rPr>
            </w:pPr>
          </w:p>
        </w:tc>
        <w:tc>
          <w:tcPr>
            <w:tcW w:w="1559" w:type="dxa"/>
            <w:tcBorders>
              <w:bottom w:val="single" w:sz="4" w:space="0" w:color="auto"/>
            </w:tcBorders>
          </w:tcPr>
          <w:p w14:paraId="12BC32B2" w14:textId="77777777" w:rsidR="00A379A7" w:rsidRPr="00EF2B67" w:rsidRDefault="00A379A7" w:rsidP="005A7384">
            <w:pPr>
              <w:suppressAutoHyphens w:val="0"/>
              <w:ind w:left="57"/>
              <w:jc w:val="both"/>
              <w:rPr>
                <w:rFonts w:eastAsia="Calibri"/>
                <w:noProof/>
                <w:highlight w:val="yellow"/>
                <w:lang w:eastAsia="et-EE"/>
              </w:rPr>
            </w:pPr>
          </w:p>
        </w:tc>
      </w:tr>
      <w:tr w:rsidR="006C7C83" w:rsidRPr="00EF2B67" w14:paraId="5AE9DF5F" w14:textId="77777777" w:rsidTr="001D6319">
        <w:trPr>
          <w:cantSplit/>
          <w:trHeight w:val="20"/>
        </w:trPr>
        <w:tc>
          <w:tcPr>
            <w:tcW w:w="2425" w:type="dxa"/>
            <w:shd w:val="clear" w:color="auto" w:fill="95B3D7"/>
          </w:tcPr>
          <w:p w14:paraId="472D6327" w14:textId="77777777" w:rsidR="006C7C83" w:rsidRPr="00EF2B67" w:rsidRDefault="006C7C83" w:rsidP="005A7384">
            <w:pPr>
              <w:suppressAutoHyphens w:val="0"/>
              <w:ind w:left="170"/>
              <w:jc w:val="both"/>
              <w:rPr>
                <w:rFonts w:eastAsia="Calibri"/>
                <w:noProof/>
                <w:lang w:eastAsia="et-EE"/>
              </w:rPr>
            </w:pPr>
            <w:r w:rsidRPr="00EF2B67">
              <w:rPr>
                <w:rFonts w:eastAsia="Calibri"/>
                <w:noProof/>
                <w:lang w:eastAsia="et-EE"/>
              </w:rPr>
              <w:t>KOKKU</w:t>
            </w:r>
          </w:p>
        </w:tc>
        <w:tc>
          <w:tcPr>
            <w:tcW w:w="1701" w:type="dxa"/>
            <w:shd w:val="clear" w:color="auto" w:fill="95B3D7"/>
          </w:tcPr>
          <w:p w14:paraId="3341AAE2" w14:textId="359C87E6" w:rsidR="006C7C83" w:rsidRPr="00EF2B67" w:rsidRDefault="00C82554" w:rsidP="005A7384">
            <w:pPr>
              <w:suppressAutoHyphens w:val="0"/>
              <w:jc w:val="both"/>
              <w:rPr>
                <w:rFonts w:eastAsia="Calibri"/>
                <w:noProof/>
                <w:lang w:eastAsia="et-EE"/>
              </w:rPr>
            </w:pPr>
            <w:r>
              <w:rPr>
                <w:rFonts w:eastAsia="Calibri"/>
                <w:noProof/>
                <w:lang w:eastAsia="et-EE"/>
              </w:rPr>
              <w:t>240</w:t>
            </w:r>
          </w:p>
        </w:tc>
        <w:tc>
          <w:tcPr>
            <w:tcW w:w="1843" w:type="dxa"/>
            <w:shd w:val="clear" w:color="auto" w:fill="95B3D7"/>
          </w:tcPr>
          <w:p w14:paraId="79456029" w14:textId="06AFA2DD" w:rsidR="006C7C83" w:rsidRPr="00AB154B" w:rsidRDefault="006C7C83" w:rsidP="005A7384">
            <w:pPr>
              <w:suppressAutoHyphens w:val="0"/>
              <w:jc w:val="both"/>
              <w:rPr>
                <w:rFonts w:eastAsia="Calibri"/>
                <w:noProof/>
                <w:lang w:eastAsia="et-EE"/>
              </w:rPr>
            </w:pPr>
            <w:r w:rsidRPr="00AB154B">
              <w:t>0</w:t>
            </w:r>
          </w:p>
        </w:tc>
        <w:tc>
          <w:tcPr>
            <w:tcW w:w="2126" w:type="dxa"/>
            <w:shd w:val="clear" w:color="auto" w:fill="95B3D7"/>
          </w:tcPr>
          <w:p w14:paraId="758710B5" w14:textId="7CA55CDA" w:rsidR="006C7C83" w:rsidRPr="00AB154B" w:rsidRDefault="005D434F" w:rsidP="005A7384">
            <w:pPr>
              <w:suppressAutoHyphens w:val="0"/>
              <w:jc w:val="both"/>
              <w:rPr>
                <w:rFonts w:eastAsia="Calibri"/>
                <w:noProof/>
                <w:lang w:eastAsia="et-EE"/>
              </w:rPr>
            </w:pPr>
            <w:r>
              <w:rPr>
                <w:rFonts w:eastAsia="Calibri"/>
                <w:noProof/>
                <w:lang w:eastAsia="et-EE"/>
              </w:rPr>
              <w:t>0</w:t>
            </w:r>
          </w:p>
        </w:tc>
        <w:tc>
          <w:tcPr>
            <w:tcW w:w="1559" w:type="dxa"/>
            <w:shd w:val="clear" w:color="auto" w:fill="95B3D7"/>
          </w:tcPr>
          <w:p w14:paraId="5998EDDB" w14:textId="503CE9B8" w:rsidR="006C7C83" w:rsidRPr="00EF2B67" w:rsidRDefault="00C82554" w:rsidP="005A7384">
            <w:pPr>
              <w:suppressAutoHyphens w:val="0"/>
              <w:jc w:val="both"/>
              <w:rPr>
                <w:rFonts w:eastAsia="Calibri"/>
                <w:noProof/>
                <w:highlight w:val="yellow"/>
                <w:lang w:eastAsia="et-EE"/>
              </w:rPr>
            </w:pPr>
            <w:r>
              <w:rPr>
                <w:rFonts w:eastAsia="Calibri"/>
                <w:noProof/>
                <w:lang w:eastAsia="et-EE"/>
              </w:rPr>
              <w:t>0</w:t>
            </w:r>
          </w:p>
        </w:tc>
      </w:tr>
    </w:tbl>
    <w:p w14:paraId="592B202B" w14:textId="77777777" w:rsidR="00A379A7" w:rsidRPr="00EF2B67" w:rsidRDefault="00A379A7" w:rsidP="005A7384">
      <w:pPr>
        <w:suppressAutoHyphens w:val="0"/>
        <w:spacing w:before="40"/>
        <w:jc w:val="both"/>
        <w:rPr>
          <w:rFonts w:eastAsia="Calibri"/>
          <w:bCs/>
          <w:noProof/>
          <w:sz w:val="20"/>
          <w:szCs w:val="20"/>
          <w:lang w:eastAsia="et-EE"/>
        </w:rPr>
      </w:pPr>
      <w:r w:rsidRPr="00EF2B67">
        <w:rPr>
          <w:rFonts w:eastAsia="Calibri"/>
          <w:bCs/>
          <w:noProof/>
          <w:sz w:val="20"/>
          <w:szCs w:val="20"/>
          <w:lang w:eastAsia="et-EE"/>
        </w:rPr>
        <w:t xml:space="preserve">*protsent kogu </w:t>
      </w:r>
      <w:r>
        <w:rPr>
          <w:rFonts w:eastAsia="Calibri"/>
          <w:bCs/>
          <w:noProof/>
          <w:sz w:val="20"/>
          <w:szCs w:val="20"/>
          <w:lang w:eastAsia="et-EE"/>
        </w:rPr>
        <w:t xml:space="preserve">hinnatud </w:t>
      </w:r>
      <w:r w:rsidRPr="00EF2B67">
        <w:rPr>
          <w:rFonts w:eastAsia="Calibri"/>
          <w:bCs/>
          <w:noProof/>
          <w:sz w:val="20"/>
          <w:szCs w:val="20"/>
          <w:lang w:eastAsia="et-EE"/>
        </w:rPr>
        <w:t>(planeeritud+kaasuvad) RhkDok arvust (Tabel 1.1 KOKKU)</w:t>
      </w:r>
    </w:p>
    <w:p w14:paraId="62664DCF" w14:textId="79A4A314" w:rsidR="00A379A7" w:rsidRPr="00EF2B67" w:rsidRDefault="00A379A7" w:rsidP="005A7384">
      <w:pPr>
        <w:suppressAutoHyphens w:val="0"/>
        <w:spacing w:before="40"/>
        <w:jc w:val="both"/>
        <w:rPr>
          <w:rFonts w:eastAsia="Calibri"/>
          <w:b/>
          <w:bCs/>
          <w:noProof/>
          <w:lang w:eastAsia="et-EE"/>
        </w:rPr>
      </w:pPr>
      <w:r w:rsidRPr="00EF2B67">
        <w:rPr>
          <w:rFonts w:eastAsia="Calibri"/>
          <w:bCs/>
          <w:noProof/>
          <w:sz w:val="20"/>
          <w:szCs w:val="20"/>
          <w:lang w:eastAsia="et-EE"/>
        </w:rPr>
        <w:t xml:space="preserve">**protsent kogu </w:t>
      </w:r>
      <w:r>
        <w:rPr>
          <w:rFonts w:eastAsia="Calibri"/>
          <w:bCs/>
          <w:noProof/>
          <w:sz w:val="20"/>
          <w:szCs w:val="20"/>
          <w:lang w:eastAsia="et-EE"/>
        </w:rPr>
        <w:t>hinnatud</w:t>
      </w:r>
      <w:r w:rsidRPr="00EF2B67">
        <w:rPr>
          <w:rFonts w:eastAsia="Calibri"/>
          <w:bCs/>
          <w:noProof/>
          <w:sz w:val="20"/>
          <w:szCs w:val="20"/>
          <w:lang w:eastAsia="et-EE"/>
        </w:rPr>
        <w:t xml:space="preserve"> (planeeritud+kaasuvad) RhkDok summast</w:t>
      </w:r>
    </w:p>
    <w:p w14:paraId="09C3F018" w14:textId="77777777" w:rsidR="00A379A7" w:rsidRPr="00EF2B67" w:rsidRDefault="00A379A7" w:rsidP="005A7384">
      <w:pPr>
        <w:numPr>
          <w:ilvl w:val="0"/>
          <w:numId w:val="2"/>
        </w:numPr>
        <w:suppressAutoHyphens w:val="0"/>
        <w:spacing w:before="240" w:after="120"/>
        <w:ind w:left="357" w:hanging="357"/>
        <w:jc w:val="both"/>
        <w:rPr>
          <w:rFonts w:eastAsia="Calibri"/>
          <w:b/>
          <w:bCs/>
          <w:noProof/>
          <w:lang w:eastAsia="et-EE"/>
        </w:rPr>
      </w:pPr>
      <w:r>
        <w:rPr>
          <w:rFonts w:eastAsia="Calibri"/>
          <w:b/>
          <w:bCs/>
          <w:noProof/>
          <w:lang w:eastAsia="et-EE"/>
        </w:rPr>
        <w:t xml:space="preserve">Hindamise </w:t>
      </w:r>
      <w:r w:rsidRPr="00EF2B67">
        <w:rPr>
          <w:rFonts w:eastAsia="Calibri"/>
          <w:b/>
          <w:bCs/>
          <w:noProof/>
          <w:lang w:eastAsia="et-EE"/>
        </w:rPr>
        <w:t>ülevaade</w:t>
      </w:r>
    </w:p>
    <w:p w14:paraId="506C8E39" w14:textId="77777777" w:rsidR="009A0B9F" w:rsidRPr="00E42F9C" w:rsidRDefault="00A379A7" w:rsidP="00533599">
      <w:pPr>
        <w:keepNext/>
        <w:numPr>
          <w:ilvl w:val="1"/>
          <w:numId w:val="2"/>
        </w:numPr>
        <w:suppressAutoHyphens w:val="0"/>
        <w:spacing w:after="120"/>
        <w:ind w:left="709" w:hanging="425"/>
        <w:outlineLvl w:val="1"/>
        <w:rPr>
          <w:rFonts w:eastAsia="Calibri"/>
          <w:noProof/>
          <w:lang w:eastAsia="et-EE"/>
        </w:rPr>
      </w:pPr>
      <w:r w:rsidRPr="00E42F9C">
        <w:rPr>
          <w:rFonts w:eastAsia="Calibri"/>
          <w:iCs/>
          <w:noProof/>
          <w:lang w:eastAsia="et-EE"/>
        </w:rPr>
        <w:t xml:space="preserve">RkhDok </w:t>
      </w:r>
      <w:r w:rsidRPr="00E42F9C">
        <w:rPr>
          <w:rFonts w:eastAsia="Calibri"/>
          <w:noProof/>
          <w:lang w:eastAsia="et-EE"/>
        </w:rPr>
        <w:t>hindamise eesmärk</w:t>
      </w:r>
    </w:p>
    <w:p w14:paraId="46E81887" w14:textId="097BF59F" w:rsidR="00923B8C" w:rsidRDefault="00923B8C" w:rsidP="00E27CDA">
      <w:r w:rsidRPr="00AC3A03">
        <w:t>Hinnata teenuse rakendumist  vastavalt tervishoiuteenuste loetelu tingimustele</w:t>
      </w:r>
      <w:r>
        <w:t>.</w:t>
      </w:r>
    </w:p>
    <w:p w14:paraId="738A852A" w14:textId="77777777" w:rsidR="00E27CDA" w:rsidRPr="00E9651E" w:rsidRDefault="00E27CDA" w:rsidP="00E27CDA"/>
    <w:p w14:paraId="3ED955A1" w14:textId="63676D26" w:rsidR="00A379A7" w:rsidRPr="00E42F9C" w:rsidRDefault="00A379A7" w:rsidP="004D446C">
      <w:pPr>
        <w:keepNext/>
        <w:numPr>
          <w:ilvl w:val="1"/>
          <w:numId w:val="2"/>
        </w:numPr>
        <w:suppressAutoHyphens w:val="0"/>
        <w:spacing w:after="120"/>
        <w:ind w:left="709" w:hanging="425"/>
        <w:jc w:val="both"/>
        <w:outlineLvl w:val="1"/>
        <w:rPr>
          <w:rFonts w:eastAsia="Calibri"/>
          <w:bCs/>
          <w:noProof/>
          <w:lang w:eastAsia="et-EE"/>
        </w:rPr>
      </w:pPr>
      <w:r w:rsidRPr="00E42F9C">
        <w:rPr>
          <w:rFonts w:eastAsia="Calibri"/>
          <w:bCs/>
          <w:noProof/>
          <w:lang w:eastAsia="et-EE"/>
        </w:rPr>
        <w:t xml:space="preserve">Taustainfo </w:t>
      </w:r>
    </w:p>
    <w:p w14:paraId="11D3434B" w14:textId="140450C8" w:rsidR="009B2C26" w:rsidRPr="00AB5AFF" w:rsidRDefault="009B2C26" w:rsidP="009B2C26">
      <w:pPr>
        <w:keepNext/>
        <w:suppressAutoHyphens w:val="0"/>
        <w:spacing w:after="120"/>
        <w:jc w:val="both"/>
        <w:outlineLvl w:val="1"/>
        <w:rPr>
          <w:rFonts w:eastAsia="Calibri"/>
          <w:b/>
          <w:bCs/>
          <w:noProof/>
          <w:lang w:eastAsia="et-EE"/>
        </w:rPr>
      </w:pPr>
      <w:r>
        <w:rPr>
          <w:rFonts w:eastAsia="Calibri"/>
          <w:bCs/>
          <w:noProof/>
          <w:lang w:eastAsia="et-EE"/>
        </w:rPr>
        <w:t>Uus teenus loetelus.</w:t>
      </w:r>
    </w:p>
    <w:p w14:paraId="17A1F165" w14:textId="3AB66351" w:rsidR="00465511" w:rsidRDefault="00465511" w:rsidP="005A7384">
      <w:pPr>
        <w:autoSpaceDE w:val="0"/>
        <w:adjustRightInd w:val="0"/>
        <w:jc w:val="both"/>
        <w:rPr>
          <w:bCs/>
          <w:lang w:eastAsia="et-EE"/>
        </w:rPr>
      </w:pPr>
    </w:p>
    <w:p w14:paraId="020CFA0A" w14:textId="77777777" w:rsidR="00465511" w:rsidRPr="00FB2E9E" w:rsidRDefault="00465511" w:rsidP="005A7384">
      <w:pPr>
        <w:autoSpaceDE w:val="0"/>
        <w:adjustRightInd w:val="0"/>
        <w:jc w:val="both"/>
        <w:rPr>
          <w:bCs/>
          <w:lang w:eastAsia="et-EE"/>
        </w:rPr>
      </w:pPr>
    </w:p>
    <w:p w14:paraId="32B6D4E2" w14:textId="5095A843" w:rsidR="00A379A7" w:rsidRPr="00FB2E9E" w:rsidRDefault="00A379A7" w:rsidP="005A7384">
      <w:pPr>
        <w:keepNext/>
        <w:numPr>
          <w:ilvl w:val="1"/>
          <w:numId w:val="2"/>
        </w:numPr>
        <w:suppressAutoHyphens w:val="0"/>
        <w:spacing w:after="120"/>
        <w:ind w:left="709" w:hanging="425"/>
        <w:jc w:val="both"/>
        <w:outlineLvl w:val="1"/>
        <w:rPr>
          <w:rFonts w:eastAsia="Calibri"/>
          <w:bCs/>
          <w:noProof/>
          <w:lang w:eastAsia="et-EE"/>
        </w:rPr>
      </w:pPr>
      <w:r w:rsidRPr="00EF2B67">
        <w:rPr>
          <w:rFonts w:eastAsia="Calibri"/>
          <w:bCs/>
          <w:noProof/>
          <w:lang w:eastAsia="et-EE"/>
        </w:rPr>
        <w:lastRenderedPageBreak/>
        <w:t>Sihtvaliku valimi periood</w:t>
      </w:r>
      <w:r w:rsidR="00FB2E9E">
        <w:rPr>
          <w:rFonts w:eastAsia="Calibri"/>
          <w:bCs/>
          <w:noProof/>
          <w:lang w:eastAsia="et-EE"/>
        </w:rPr>
        <w:t xml:space="preserve">: </w:t>
      </w:r>
      <w:r w:rsidR="00EE1BE3" w:rsidRPr="00AC3A03">
        <w:rPr>
          <w:rFonts w:eastAsia="Calibri"/>
          <w:lang w:eastAsia="et-EE"/>
        </w:rPr>
        <w:t>2020. aasta 1. - 10. kuu</w:t>
      </w:r>
    </w:p>
    <w:p w14:paraId="2B11C250" w14:textId="0FA3AC0C" w:rsidR="00A379A7" w:rsidRDefault="00A379A7" w:rsidP="005A7384">
      <w:pPr>
        <w:keepNext/>
        <w:numPr>
          <w:ilvl w:val="1"/>
          <w:numId w:val="2"/>
        </w:numPr>
        <w:suppressAutoHyphens w:val="0"/>
        <w:spacing w:after="120"/>
        <w:ind w:left="709" w:hanging="425"/>
        <w:jc w:val="both"/>
        <w:outlineLvl w:val="1"/>
        <w:rPr>
          <w:rFonts w:eastAsia="Calibri"/>
          <w:bCs/>
          <w:noProof/>
          <w:lang w:eastAsia="et-EE"/>
        </w:rPr>
      </w:pPr>
      <w:r>
        <w:rPr>
          <w:rFonts w:eastAsia="Calibri"/>
          <w:bCs/>
          <w:noProof/>
          <w:lang w:eastAsia="et-EE"/>
        </w:rPr>
        <w:t>Hindamise</w:t>
      </w:r>
      <w:r w:rsidRPr="00EF2B67">
        <w:rPr>
          <w:rFonts w:eastAsia="Calibri"/>
          <w:bCs/>
          <w:noProof/>
          <w:lang w:eastAsia="et-EE"/>
        </w:rPr>
        <w:t xml:space="preserve"> läbiviimise alus </w:t>
      </w:r>
    </w:p>
    <w:p w14:paraId="095000D4" w14:textId="77777777" w:rsidR="00786E76" w:rsidRPr="0024065C" w:rsidRDefault="00786E76" w:rsidP="0024065C">
      <w:pPr>
        <w:pStyle w:val="ListParagraph"/>
        <w:numPr>
          <w:ilvl w:val="0"/>
          <w:numId w:val="13"/>
        </w:numPr>
        <w:autoSpaceDN w:val="0"/>
        <w:jc w:val="both"/>
        <w:textAlignment w:val="baseline"/>
        <w:rPr>
          <w:rFonts w:eastAsia="Calibri"/>
          <w:lang w:eastAsia="et-EE"/>
        </w:rPr>
      </w:pPr>
      <w:r w:rsidRPr="0024065C">
        <w:rPr>
          <w:rFonts w:eastAsia="Calibri"/>
          <w:lang w:eastAsia="et-EE"/>
        </w:rPr>
        <w:t>Eesti Haigekassa seadus § 2 lg 2, § 4 lg 1</w:t>
      </w:r>
    </w:p>
    <w:p w14:paraId="5D3C8707" w14:textId="77777777" w:rsidR="00786E76" w:rsidRPr="0024065C" w:rsidRDefault="00786E76" w:rsidP="0024065C">
      <w:pPr>
        <w:pStyle w:val="ListParagraph"/>
        <w:numPr>
          <w:ilvl w:val="0"/>
          <w:numId w:val="13"/>
        </w:numPr>
        <w:autoSpaceDN w:val="0"/>
        <w:jc w:val="both"/>
        <w:textAlignment w:val="baseline"/>
        <w:rPr>
          <w:rFonts w:eastAsia="Calibri"/>
          <w:lang w:eastAsia="et-EE"/>
        </w:rPr>
      </w:pPr>
      <w:r w:rsidRPr="0024065C">
        <w:rPr>
          <w:rFonts w:eastAsia="Calibri"/>
          <w:lang w:eastAsia="et-EE"/>
        </w:rPr>
        <w:t xml:space="preserve">Ravikindlustuse seadus (edaspidi </w:t>
      </w:r>
      <w:proofErr w:type="spellStart"/>
      <w:r w:rsidRPr="0024065C">
        <w:rPr>
          <w:rFonts w:eastAsia="Calibri"/>
          <w:lang w:eastAsia="et-EE"/>
        </w:rPr>
        <w:t>RaKS</w:t>
      </w:r>
      <w:proofErr w:type="spellEnd"/>
      <w:r w:rsidRPr="0024065C">
        <w:rPr>
          <w:rFonts w:eastAsia="Calibri"/>
          <w:lang w:eastAsia="et-EE"/>
        </w:rPr>
        <w:t>)</w:t>
      </w:r>
    </w:p>
    <w:p w14:paraId="7614F25A" w14:textId="77777777" w:rsidR="00786E76" w:rsidRPr="0024065C" w:rsidRDefault="00786E76" w:rsidP="0024065C">
      <w:pPr>
        <w:pStyle w:val="ListParagraph"/>
        <w:numPr>
          <w:ilvl w:val="0"/>
          <w:numId w:val="13"/>
        </w:numPr>
        <w:autoSpaceDN w:val="0"/>
        <w:jc w:val="both"/>
        <w:textAlignment w:val="baseline"/>
        <w:rPr>
          <w:rFonts w:eastAsia="Calibri"/>
          <w:lang w:eastAsia="et-EE"/>
        </w:rPr>
      </w:pPr>
      <w:r w:rsidRPr="0024065C">
        <w:rPr>
          <w:rFonts w:eastAsia="Calibri"/>
          <w:lang w:eastAsia="et-EE"/>
        </w:rPr>
        <w:t>Tervishoiuteenuste korraldamise seadus (edaspidi TTKS)</w:t>
      </w:r>
    </w:p>
    <w:p w14:paraId="1CA26C98" w14:textId="77777777" w:rsidR="00786E76" w:rsidRPr="0024065C" w:rsidRDefault="00786E76" w:rsidP="0024065C">
      <w:pPr>
        <w:pStyle w:val="ListParagraph"/>
        <w:numPr>
          <w:ilvl w:val="0"/>
          <w:numId w:val="13"/>
        </w:numPr>
        <w:autoSpaceDN w:val="0"/>
        <w:jc w:val="both"/>
        <w:textAlignment w:val="baseline"/>
        <w:rPr>
          <w:rFonts w:eastAsia="Calibri"/>
          <w:lang w:eastAsia="et-EE"/>
        </w:rPr>
      </w:pPr>
      <w:r w:rsidRPr="0024065C">
        <w:rPr>
          <w:rFonts w:eastAsia="Calibri"/>
          <w:lang w:eastAsia="et-EE"/>
        </w:rPr>
        <w:t>Sotsiaalministri 18.09.2008 määrus nr 56 “Tervishoiuteenuse osutamise dokumenteerimise ning nende dokumentide säilitamise tingimused ja kord” (edaspidi dokumenteerimise määrus)</w:t>
      </w:r>
    </w:p>
    <w:p w14:paraId="1E2CCD7A" w14:textId="77777777" w:rsidR="00786E76" w:rsidRPr="0024065C" w:rsidRDefault="00786E76" w:rsidP="0024065C">
      <w:pPr>
        <w:pStyle w:val="ListParagraph"/>
        <w:numPr>
          <w:ilvl w:val="0"/>
          <w:numId w:val="13"/>
        </w:numPr>
        <w:autoSpaceDN w:val="0"/>
        <w:jc w:val="both"/>
        <w:textAlignment w:val="baseline"/>
        <w:rPr>
          <w:rFonts w:eastAsia="Calibri"/>
        </w:rPr>
      </w:pPr>
      <w:r w:rsidRPr="0024065C">
        <w:rPr>
          <w:rFonts w:eastAsia="Calibri"/>
        </w:rPr>
        <w:t xml:space="preserve">Vabariigi Valitsuse 19.12.2019 määrus nr 116, 19.03.2020 määrus  nr 19, 13.08.2020 määrus nr 64 “Eesti Haigekassa tervishoiuteenuste loetelu“ (edaspidi TTL)  </w:t>
      </w:r>
    </w:p>
    <w:p w14:paraId="37D37506" w14:textId="77777777" w:rsidR="00786E76" w:rsidRPr="0024065C" w:rsidRDefault="00786E76" w:rsidP="0024065C">
      <w:pPr>
        <w:pStyle w:val="ListParagraph"/>
        <w:numPr>
          <w:ilvl w:val="0"/>
          <w:numId w:val="13"/>
        </w:numPr>
        <w:autoSpaceDN w:val="0"/>
        <w:jc w:val="both"/>
        <w:textAlignment w:val="baseline"/>
        <w:rPr>
          <w:rFonts w:ascii="Calibri" w:eastAsia="Calibri" w:hAnsi="Calibri"/>
        </w:rPr>
      </w:pPr>
      <w:r w:rsidRPr="0024065C">
        <w:rPr>
          <w:rFonts w:eastAsia="Calibri"/>
          <w:lang w:eastAsia="et-EE"/>
        </w:rPr>
        <w:t>Sotsiaalministri 19.01.2007 määrus nr 9 „Kindlustatud isikult tasu maksmise kohustuse Eesti Haigekassa poolt ülevõtmise kord ja tervishoiuteenuse osutajatele makstava tasu arvutamise metoodika” (edaspidi metoodika määrus)</w:t>
      </w:r>
    </w:p>
    <w:p w14:paraId="150C0607" w14:textId="49EACBAE" w:rsidR="00786E76" w:rsidRPr="007A3A71" w:rsidRDefault="00786E76" w:rsidP="007A3A71">
      <w:pPr>
        <w:pStyle w:val="ListParagraph"/>
        <w:keepNext/>
        <w:numPr>
          <w:ilvl w:val="0"/>
          <w:numId w:val="13"/>
        </w:numPr>
        <w:suppressAutoHyphens w:val="0"/>
        <w:autoSpaceDN w:val="0"/>
        <w:spacing w:after="120"/>
        <w:jc w:val="both"/>
        <w:textAlignment w:val="baseline"/>
        <w:outlineLvl w:val="1"/>
        <w:rPr>
          <w:rFonts w:eastAsia="Calibri"/>
          <w:bCs/>
          <w:noProof/>
          <w:lang w:eastAsia="et-EE"/>
        </w:rPr>
      </w:pPr>
      <w:r w:rsidRPr="007A3A71">
        <w:rPr>
          <w:rFonts w:eastAsia="Calibri"/>
          <w:lang w:eastAsia="et-EE"/>
        </w:rPr>
        <w:t>Ravi rahastamise leping (edaspidi RRL)</w:t>
      </w:r>
    </w:p>
    <w:p w14:paraId="6B7D69E6" w14:textId="77777777" w:rsidR="00FB2E9E" w:rsidRPr="00EF2B67" w:rsidRDefault="00FB2E9E" w:rsidP="005A7384">
      <w:pPr>
        <w:pStyle w:val="NoSpacing"/>
        <w:jc w:val="both"/>
        <w:rPr>
          <w:rFonts w:eastAsia="Calibri"/>
          <w:noProof/>
          <w:lang w:eastAsia="et-EE"/>
        </w:rPr>
      </w:pPr>
    </w:p>
    <w:p w14:paraId="6358333A" w14:textId="77777777" w:rsidR="00A379A7" w:rsidRPr="00EF2B67" w:rsidRDefault="00A379A7" w:rsidP="005A7384">
      <w:pPr>
        <w:keepNext/>
        <w:numPr>
          <w:ilvl w:val="1"/>
          <w:numId w:val="2"/>
        </w:numPr>
        <w:suppressAutoHyphens w:val="0"/>
        <w:spacing w:after="120"/>
        <w:ind w:left="709" w:hanging="425"/>
        <w:jc w:val="both"/>
        <w:outlineLvl w:val="1"/>
        <w:rPr>
          <w:rFonts w:eastAsia="Calibri"/>
          <w:bCs/>
          <w:noProof/>
          <w:lang w:eastAsia="et-EE"/>
        </w:rPr>
      </w:pPr>
      <w:r>
        <w:rPr>
          <w:rFonts w:eastAsia="Calibri"/>
          <w:bCs/>
          <w:noProof/>
          <w:lang w:eastAsia="et-EE"/>
        </w:rPr>
        <w:t xml:space="preserve">Hinnatud </w:t>
      </w:r>
      <w:r w:rsidRPr="00EF2B67">
        <w:rPr>
          <w:rFonts w:eastAsia="Calibri"/>
          <w:bCs/>
          <w:noProof/>
          <w:lang w:eastAsia="et-EE"/>
        </w:rPr>
        <w:t>asutused, dokumentide arv ja tehtud nõudeavaldused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
        <w:gridCol w:w="3132"/>
        <w:gridCol w:w="851"/>
        <w:gridCol w:w="1711"/>
        <w:gridCol w:w="1842"/>
        <w:gridCol w:w="1701"/>
      </w:tblGrid>
      <w:tr w:rsidR="00A379A7" w:rsidRPr="00EF2B67" w14:paraId="3B8E262A" w14:textId="77777777" w:rsidTr="00FB2E9E">
        <w:trPr>
          <w:trHeight w:val="373"/>
        </w:trPr>
        <w:tc>
          <w:tcPr>
            <w:tcW w:w="402" w:type="dxa"/>
            <w:vMerge w:val="restart"/>
            <w:shd w:val="clear" w:color="auto" w:fill="B8CCE4"/>
          </w:tcPr>
          <w:p w14:paraId="49B232CD" w14:textId="77777777" w:rsidR="00A379A7" w:rsidRPr="00EF2B67" w:rsidRDefault="00A379A7" w:rsidP="005A7384">
            <w:pPr>
              <w:suppressAutoHyphens w:val="0"/>
              <w:ind w:left="57"/>
              <w:jc w:val="both"/>
              <w:rPr>
                <w:rFonts w:eastAsia="Arial Unicode MS"/>
                <w:bCs/>
                <w:noProof/>
                <w:lang w:eastAsia="et-EE"/>
              </w:rPr>
            </w:pPr>
            <w:r w:rsidRPr="00EF2B67">
              <w:rPr>
                <w:rFonts w:eastAsia="Calibri"/>
                <w:bCs/>
                <w:noProof/>
                <w:lang w:eastAsia="et-EE"/>
              </w:rPr>
              <w:t>Jrk nr</w:t>
            </w:r>
          </w:p>
        </w:tc>
        <w:tc>
          <w:tcPr>
            <w:tcW w:w="3132" w:type="dxa"/>
            <w:vMerge w:val="restart"/>
            <w:shd w:val="clear" w:color="auto" w:fill="B8CCE4"/>
          </w:tcPr>
          <w:p w14:paraId="5453D08B" w14:textId="77777777" w:rsidR="00A379A7" w:rsidRPr="00EF2B67" w:rsidRDefault="00A379A7" w:rsidP="005A7384">
            <w:pPr>
              <w:suppressAutoHyphens w:val="0"/>
              <w:ind w:left="57"/>
              <w:jc w:val="both"/>
              <w:rPr>
                <w:rFonts w:eastAsia="Arial Unicode MS"/>
                <w:bCs/>
                <w:noProof/>
                <w:lang w:eastAsia="et-EE"/>
              </w:rPr>
            </w:pPr>
            <w:r w:rsidRPr="00EF2B67">
              <w:rPr>
                <w:rFonts w:eastAsia="Calibri"/>
                <w:bCs/>
                <w:noProof/>
                <w:lang w:eastAsia="et-EE"/>
              </w:rPr>
              <w:t>Asutuse nimi</w:t>
            </w:r>
          </w:p>
        </w:tc>
        <w:tc>
          <w:tcPr>
            <w:tcW w:w="6105" w:type="dxa"/>
            <w:gridSpan w:val="4"/>
            <w:shd w:val="clear" w:color="auto" w:fill="B8CCE4"/>
          </w:tcPr>
          <w:p w14:paraId="2E7437D1" w14:textId="77777777" w:rsidR="00A379A7" w:rsidRPr="00EF2B67" w:rsidRDefault="00A379A7" w:rsidP="005A7384">
            <w:pPr>
              <w:suppressAutoHyphens w:val="0"/>
              <w:ind w:left="57"/>
              <w:jc w:val="both"/>
              <w:rPr>
                <w:rFonts w:eastAsia="Arial Unicode MS"/>
                <w:bCs/>
                <w:noProof/>
                <w:lang w:eastAsia="et-EE"/>
              </w:rPr>
            </w:pPr>
            <w:r w:rsidRPr="00EF2B67">
              <w:rPr>
                <w:rFonts w:eastAsia="Arial Unicode MS"/>
                <w:bCs/>
                <w:noProof/>
                <w:lang w:eastAsia="et-EE"/>
              </w:rPr>
              <w:t>RhkDok</w:t>
            </w:r>
          </w:p>
        </w:tc>
      </w:tr>
      <w:tr w:rsidR="00A379A7" w:rsidRPr="00EF2B67" w14:paraId="77621026" w14:textId="77777777" w:rsidTr="00FB2E9E">
        <w:tc>
          <w:tcPr>
            <w:tcW w:w="402" w:type="dxa"/>
            <w:vMerge/>
            <w:shd w:val="clear" w:color="auto" w:fill="B8CCE4"/>
          </w:tcPr>
          <w:p w14:paraId="575AFFE9" w14:textId="77777777" w:rsidR="00A379A7" w:rsidRPr="00EF2B67" w:rsidRDefault="00A379A7" w:rsidP="005A7384">
            <w:pPr>
              <w:suppressAutoHyphens w:val="0"/>
              <w:ind w:left="57"/>
              <w:jc w:val="both"/>
              <w:rPr>
                <w:rFonts w:eastAsia="Calibri"/>
                <w:bCs/>
                <w:noProof/>
                <w:lang w:eastAsia="et-EE"/>
              </w:rPr>
            </w:pPr>
          </w:p>
        </w:tc>
        <w:tc>
          <w:tcPr>
            <w:tcW w:w="3132" w:type="dxa"/>
            <w:vMerge/>
            <w:shd w:val="clear" w:color="auto" w:fill="B8CCE4"/>
          </w:tcPr>
          <w:p w14:paraId="591861A3" w14:textId="77777777" w:rsidR="00A379A7" w:rsidRPr="00EF2B67" w:rsidRDefault="00A379A7" w:rsidP="005A7384">
            <w:pPr>
              <w:suppressAutoHyphens w:val="0"/>
              <w:ind w:left="57"/>
              <w:jc w:val="both"/>
              <w:rPr>
                <w:rFonts w:eastAsia="Calibri"/>
                <w:bCs/>
                <w:noProof/>
                <w:lang w:eastAsia="et-EE"/>
              </w:rPr>
            </w:pPr>
          </w:p>
        </w:tc>
        <w:tc>
          <w:tcPr>
            <w:tcW w:w="851" w:type="dxa"/>
            <w:vMerge w:val="restart"/>
            <w:shd w:val="clear" w:color="auto" w:fill="B8CCE4"/>
          </w:tcPr>
          <w:p w14:paraId="17669BCF" w14:textId="77777777" w:rsidR="00A379A7" w:rsidRPr="00EF2B67" w:rsidRDefault="00A379A7" w:rsidP="005A7384">
            <w:pPr>
              <w:suppressAutoHyphens w:val="0"/>
              <w:ind w:left="57"/>
              <w:jc w:val="both"/>
              <w:rPr>
                <w:rFonts w:eastAsia="Calibri"/>
                <w:bCs/>
                <w:noProof/>
                <w:lang w:eastAsia="et-EE"/>
              </w:rPr>
            </w:pPr>
            <w:r>
              <w:rPr>
                <w:rFonts w:eastAsia="Calibri"/>
                <w:bCs/>
                <w:noProof/>
                <w:lang w:eastAsia="et-EE"/>
              </w:rPr>
              <w:t>Hinnatud</w:t>
            </w:r>
            <w:r w:rsidRPr="00EF2B67">
              <w:rPr>
                <w:rFonts w:eastAsia="Calibri"/>
                <w:bCs/>
                <w:noProof/>
                <w:lang w:eastAsia="et-EE"/>
              </w:rPr>
              <w:t>, arv (100%)</w:t>
            </w:r>
          </w:p>
        </w:tc>
        <w:tc>
          <w:tcPr>
            <w:tcW w:w="1711" w:type="dxa"/>
            <w:vMerge w:val="restart"/>
            <w:shd w:val="clear" w:color="auto" w:fill="B8CCE4"/>
          </w:tcPr>
          <w:p w14:paraId="567415C3" w14:textId="77777777" w:rsidR="00A379A7" w:rsidRPr="00EF2B67" w:rsidRDefault="00A379A7" w:rsidP="005A7384">
            <w:pPr>
              <w:suppressAutoHyphens w:val="0"/>
              <w:ind w:left="57"/>
              <w:jc w:val="both"/>
              <w:rPr>
                <w:rFonts w:eastAsia="Arial Unicode MS"/>
                <w:noProof/>
                <w:lang w:eastAsia="et-EE"/>
              </w:rPr>
            </w:pPr>
            <w:r w:rsidRPr="00EF2B67">
              <w:rPr>
                <w:rFonts w:eastAsia="Arial Unicode MS"/>
                <w:noProof/>
                <w:lang w:eastAsia="et-EE"/>
              </w:rPr>
              <w:t>Tehtud märkused,  arv (%)</w:t>
            </w:r>
          </w:p>
        </w:tc>
        <w:tc>
          <w:tcPr>
            <w:tcW w:w="3543" w:type="dxa"/>
            <w:gridSpan w:val="2"/>
            <w:shd w:val="clear" w:color="auto" w:fill="B8CCE4"/>
          </w:tcPr>
          <w:p w14:paraId="3E73B135" w14:textId="77777777" w:rsidR="00A379A7" w:rsidRPr="00EF2B67" w:rsidRDefault="00A379A7" w:rsidP="005A7384">
            <w:pPr>
              <w:suppressAutoHyphens w:val="0"/>
              <w:ind w:left="57"/>
              <w:jc w:val="both"/>
              <w:rPr>
                <w:rFonts w:eastAsia="Calibri"/>
                <w:bCs/>
                <w:noProof/>
                <w:lang w:eastAsia="et-EE"/>
              </w:rPr>
            </w:pPr>
            <w:r w:rsidRPr="00EF2B67">
              <w:rPr>
                <w:rFonts w:eastAsia="Calibri"/>
                <w:noProof/>
                <w:lang w:eastAsia="et-EE"/>
              </w:rPr>
              <w:t>Nõudeavalduse</w:t>
            </w:r>
            <w:r>
              <w:rPr>
                <w:rFonts w:eastAsia="Calibri"/>
                <w:noProof/>
                <w:lang w:eastAsia="et-EE"/>
              </w:rPr>
              <w:t xml:space="preserve"> ettepanek</w:t>
            </w:r>
          </w:p>
        </w:tc>
      </w:tr>
      <w:tr w:rsidR="00A379A7" w:rsidRPr="00EF2B67" w14:paraId="28345F6B" w14:textId="77777777" w:rsidTr="00FB2E9E">
        <w:tc>
          <w:tcPr>
            <w:tcW w:w="402" w:type="dxa"/>
            <w:vMerge/>
            <w:shd w:val="clear" w:color="auto" w:fill="B8CCE4"/>
          </w:tcPr>
          <w:p w14:paraId="0812701A" w14:textId="77777777" w:rsidR="00A379A7" w:rsidRPr="00EF2B67" w:rsidRDefault="00A379A7" w:rsidP="005A7384">
            <w:pPr>
              <w:suppressAutoHyphens w:val="0"/>
              <w:ind w:left="57"/>
              <w:jc w:val="both"/>
              <w:rPr>
                <w:rFonts w:eastAsia="Calibri"/>
                <w:bCs/>
                <w:noProof/>
                <w:lang w:eastAsia="et-EE"/>
              </w:rPr>
            </w:pPr>
          </w:p>
        </w:tc>
        <w:tc>
          <w:tcPr>
            <w:tcW w:w="3132" w:type="dxa"/>
            <w:vMerge/>
            <w:shd w:val="clear" w:color="auto" w:fill="B8CCE4"/>
          </w:tcPr>
          <w:p w14:paraId="4663574F" w14:textId="77777777" w:rsidR="00A379A7" w:rsidRPr="00EF2B67" w:rsidRDefault="00A379A7" w:rsidP="005A7384">
            <w:pPr>
              <w:suppressAutoHyphens w:val="0"/>
              <w:ind w:left="57"/>
              <w:jc w:val="both"/>
              <w:rPr>
                <w:rFonts w:eastAsia="Calibri"/>
                <w:bCs/>
                <w:noProof/>
                <w:lang w:eastAsia="et-EE"/>
              </w:rPr>
            </w:pPr>
          </w:p>
        </w:tc>
        <w:tc>
          <w:tcPr>
            <w:tcW w:w="851" w:type="dxa"/>
            <w:vMerge/>
            <w:shd w:val="clear" w:color="auto" w:fill="B8CCE4"/>
          </w:tcPr>
          <w:p w14:paraId="6C193E93" w14:textId="77777777" w:rsidR="00A379A7" w:rsidRPr="00EF2B67" w:rsidRDefault="00A379A7" w:rsidP="005A7384">
            <w:pPr>
              <w:suppressAutoHyphens w:val="0"/>
              <w:ind w:left="57"/>
              <w:jc w:val="both"/>
              <w:rPr>
                <w:rFonts w:eastAsia="Calibri"/>
                <w:bCs/>
                <w:noProof/>
                <w:lang w:eastAsia="et-EE"/>
              </w:rPr>
            </w:pPr>
          </w:p>
        </w:tc>
        <w:tc>
          <w:tcPr>
            <w:tcW w:w="1711" w:type="dxa"/>
            <w:vMerge/>
            <w:shd w:val="clear" w:color="auto" w:fill="B8CCE4"/>
          </w:tcPr>
          <w:p w14:paraId="1F82752E" w14:textId="77777777" w:rsidR="00A379A7" w:rsidRPr="00EF2B67" w:rsidRDefault="00A379A7" w:rsidP="005A7384">
            <w:pPr>
              <w:suppressAutoHyphens w:val="0"/>
              <w:ind w:left="57"/>
              <w:jc w:val="both"/>
              <w:rPr>
                <w:rFonts w:eastAsia="Arial Unicode MS"/>
                <w:noProof/>
                <w:lang w:eastAsia="et-EE"/>
              </w:rPr>
            </w:pPr>
          </w:p>
        </w:tc>
        <w:tc>
          <w:tcPr>
            <w:tcW w:w="1842" w:type="dxa"/>
            <w:shd w:val="clear" w:color="auto" w:fill="B8CCE4"/>
          </w:tcPr>
          <w:p w14:paraId="6AD62F37" w14:textId="77777777" w:rsidR="00A379A7" w:rsidRPr="00EF2B67" w:rsidRDefault="00A379A7" w:rsidP="005A7384">
            <w:pPr>
              <w:suppressAutoHyphens w:val="0"/>
              <w:ind w:left="57"/>
              <w:jc w:val="both"/>
              <w:rPr>
                <w:rFonts w:eastAsia="Calibri"/>
                <w:noProof/>
                <w:lang w:eastAsia="et-EE"/>
              </w:rPr>
            </w:pPr>
            <w:r w:rsidRPr="00EF2B67">
              <w:rPr>
                <w:rFonts w:eastAsia="Calibri"/>
                <w:noProof/>
                <w:lang w:eastAsia="et-EE"/>
              </w:rPr>
              <w:t>arv (%)</w:t>
            </w:r>
          </w:p>
        </w:tc>
        <w:tc>
          <w:tcPr>
            <w:tcW w:w="1701" w:type="dxa"/>
            <w:shd w:val="clear" w:color="auto" w:fill="B8CCE4"/>
          </w:tcPr>
          <w:p w14:paraId="35DE3217" w14:textId="77777777" w:rsidR="00A379A7" w:rsidRPr="00EF2B67" w:rsidRDefault="00A379A7" w:rsidP="005A7384">
            <w:pPr>
              <w:suppressAutoHyphens w:val="0"/>
              <w:ind w:left="57"/>
              <w:jc w:val="both"/>
              <w:rPr>
                <w:rFonts w:eastAsia="Calibri"/>
                <w:bCs/>
                <w:noProof/>
                <w:lang w:eastAsia="et-EE"/>
              </w:rPr>
            </w:pPr>
            <w:r w:rsidRPr="00EF2B67">
              <w:rPr>
                <w:rFonts w:eastAsia="Calibri"/>
                <w:bCs/>
                <w:noProof/>
                <w:lang w:eastAsia="et-EE"/>
              </w:rPr>
              <w:t>Summa (€, %*)</w:t>
            </w:r>
          </w:p>
        </w:tc>
      </w:tr>
      <w:tr w:rsidR="00A379A7" w:rsidRPr="00EF2B67" w14:paraId="55BACC41" w14:textId="77777777" w:rsidTr="00FB2E9E">
        <w:trPr>
          <w:trHeight w:val="327"/>
        </w:trPr>
        <w:tc>
          <w:tcPr>
            <w:tcW w:w="402" w:type="dxa"/>
          </w:tcPr>
          <w:p w14:paraId="7C3D5526" w14:textId="77777777" w:rsidR="00A379A7" w:rsidRPr="00EF2B67" w:rsidRDefault="00A379A7" w:rsidP="005A7384">
            <w:pPr>
              <w:suppressAutoHyphens w:val="0"/>
              <w:ind w:left="57"/>
              <w:jc w:val="both"/>
              <w:rPr>
                <w:rFonts w:eastAsia="Arial Unicode MS"/>
                <w:bCs/>
                <w:noProof/>
                <w:lang w:eastAsia="et-EE"/>
              </w:rPr>
            </w:pPr>
            <w:bookmarkStart w:id="1" w:name="_Hlk61420766"/>
            <w:r w:rsidRPr="00EF2B67">
              <w:rPr>
                <w:rFonts w:eastAsia="Calibri"/>
                <w:bCs/>
                <w:noProof/>
                <w:lang w:eastAsia="et-EE"/>
              </w:rPr>
              <w:t>1</w:t>
            </w:r>
          </w:p>
        </w:tc>
        <w:tc>
          <w:tcPr>
            <w:tcW w:w="3132" w:type="dxa"/>
          </w:tcPr>
          <w:p w14:paraId="57F8855E" w14:textId="7829B0DA" w:rsidR="00A379A7" w:rsidRPr="00EF2B67" w:rsidRDefault="006B607A" w:rsidP="005A7384">
            <w:pPr>
              <w:suppressAutoHyphens w:val="0"/>
              <w:ind w:left="57"/>
              <w:jc w:val="both"/>
              <w:rPr>
                <w:rFonts w:eastAsia="Calibri"/>
                <w:noProof/>
                <w:lang w:eastAsia="et-EE"/>
              </w:rPr>
            </w:pPr>
            <w:r w:rsidRPr="006B607A">
              <w:rPr>
                <w:rFonts w:eastAsia="Calibri"/>
                <w:noProof/>
                <w:lang w:eastAsia="et-EE"/>
              </w:rPr>
              <w:t>TÜ Kliinikum SA</w:t>
            </w:r>
          </w:p>
        </w:tc>
        <w:tc>
          <w:tcPr>
            <w:tcW w:w="851" w:type="dxa"/>
          </w:tcPr>
          <w:p w14:paraId="74215D02" w14:textId="751879D5" w:rsidR="00A379A7" w:rsidRPr="00EF2B67" w:rsidRDefault="00CE7240" w:rsidP="005A7384">
            <w:pPr>
              <w:suppressAutoHyphens w:val="0"/>
              <w:ind w:left="57"/>
              <w:jc w:val="both"/>
              <w:rPr>
                <w:rFonts w:eastAsia="Calibri"/>
                <w:noProof/>
                <w:lang w:eastAsia="et-EE"/>
              </w:rPr>
            </w:pPr>
            <w:r>
              <w:rPr>
                <w:rFonts w:eastAsia="Calibri"/>
                <w:noProof/>
                <w:lang w:eastAsia="et-EE"/>
              </w:rPr>
              <w:t>80</w:t>
            </w:r>
          </w:p>
        </w:tc>
        <w:tc>
          <w:tcPr>
            <w:tcW w:w="1711" w:type="dxa"/>
          </w:tcPr>
          <w:p w14:paraId="3EFA0B37" w14:textId="5922F6D5" w:rsidR="00A379A7" w:rsidRPr="00EF2B67" w:rsidRDefault="00FB2E9E" w:rsidP="005A7384">
            <w:pPr>
              <w:suppressAutoHyphens w:val="0"/>
              <w:ind w:left="57"/>
              <w:jc w:val="both"/>
              <w:rPr>
                <w:rFonts w:eastAsia="Calibri"/>
                <w:noProof/>
                <w:lang w:eastAsia="et-EE"/>
              </w:rPr>
            </w:pPr>
            <w:r>
              <w:rPr>
                <w:rFonts w:eastAsia="Calibri"/>
                <w:noProof/>
                <w:lang w:eastAsia="et-EE"/>
              </w:rPr>
              <w:t>0</w:t>
            </w:r>
          </w:p>
        </w:tc>
        <w:tc>
          <w:tcPr>
            <w:tcW w:w="1842" w:type="dxa"/>
          </w:tcPr>
          <w:p w14:paraId="198D0FA1" w14:textId="4F73D521" w:rsidR="00A379A7" w:rsidRPr="00EF2B67" w:rsidRDefault="006B607A" w:rsidP="005A7384">
            <w:pPr>
              <w:suppressAutoHyphens w:val="0"/>
              <w:ind w:left="57"/>
              <w:jc w:val="both"/>
              <w:rPr>
                <w:rFonts w:eastAsia="Calibri"/>
                <w:noProof/>
                <w:lang w:eastAsia="et-EE"/>
              </w:rPr>
            </w:pPr>
            <w:r>
              <w:rPr>
                <w:rFonts w:eastAsia="Calibri"/>
                <w:noProof/>
                <w:lang w:eastAsia="et-EE"/>
              </w:rPr>
              <w:t>0</w:t>
            </w:r>
          </w:p>
        </w:tc>
        <w:tc>
          <w:tcPr>
            <w:tcW w:w="1701" w:type="dxa"/>
          </w:tcPr>
          <w:p w14:paraId="539D5460" w14:textId="56A0F565" w:rsidR="00A379A7" w:rsidRPr="00EF2B67" w:rsidRDefault="006B607A" w:rsidP="005A7384">
            <w:pPr>
              <w:suppressAutoHyphens w:val="0"/>
              <w:ind w:left="57"/>
              <w:jc w:val="both"/>
              <w:rPr>
                <w:rFonts w:eastAsia="Calibri"/>
                <w:noProof/>
                <w:lang w:eastAsia="et-EE"/>
              </w:rPr>
            </w:pPr>
            <w:r>
              <w:rPr>
                <w:rFonts w:eastAsia="Calibri"/>
                <w:noProof/>
                <w:lang w:eastAsia="et-EE"/>
              </w:rPr>
              <w:t>0</w:t>
            </w:r>
          </w:p>
        </w:tc>
      </w:tr>
      <w:bookmarkEnd w:id="1"/>
      <w:tr w:rsidR="00FB2E9E" w:rsidRPr="00EF2B67" w14:paraId="5C4952F1" w14:textId="77777777" w:rsidTr="00FB2E9E">
        <w:trPr>
          <w:trHeight w:val="342"/>
        </w:trPr>
        <w:tc>
          <w:tcPr>
            <w:tcW w:w="402" w:type="dxa"/>
          </w:tcPr>
          <w:p w14:paraId="7A3AAA3C" w14:textId="77777777" w:rsidR="00FB2E9E" w:rsidRPr="00EF2B67" w:rsidRDefault="00FB2E9E" w:rsidP="005A7384">
            <w:pPr>
              <w:suppressAutoHyphens w:val="0"/>
              <w:ind w:left="57"/>
              <w:jc w:val="both"/>
              <w:rPr>
                <w:rFonts w:eastAsia="Calibri"/>
                <w:bCs/>
                <w:noProof/>
                <w:lang w:eastAsia="et-EE"/>
              </w:rPr>
            </w:pPr>
            <w:r w:rsidRPr="00EF2B67">
              <w:rPr>
                <w:rFonts w:eastAsia="Calibri"/>
                <w:bCs/>
                <w:noProof/>
                <w:lang w:eastAsia="et-EE"/>
              </w:rPr>
              <w:t>2</w:t>
            </w:r>
          </w:p>
        </w:tc>
        <w:tc>
          <w:tcPr>
            <w:tcW w:w="3132" w:type="dxa"/>
          </w:tcPr>
          <w:p w14:paraId="37A1AAB8" w14:textId="620F9963" w:rsidR="00FB2E9E" w:rsidRPr="00EF2B67" w:rsidRDefault="00FB2E9E" w:rsidP="005A7384">
            <w:pPr>
              <w:suppressAutoHyphens w:val="0"/>
              <w:ind w:left="57"/>
              <w:jc w:val="both"/>
              <w:rPr>
                <w:rFonts w:eastAsia="Calibri"/>
                <w:noProof/>
                <w:lang w:eastAsia="et-EE"/>
              </w:rPr>
            </w:pPr>
            <w:r w:rsidRPr="00FB2E9E">
              <w:rPr>
                <w:rFonts w:eastAsia="Calibri"/>
                <w:noProof/>
                <w:lang w:eastAsia="et-EE"/>
              </w:rPr>
              <w:t>Põhja Eesti Regionaalhaigla SA</w:t>
            </w:r>
          </w:p>
        </w:tc>
        <w:tc>
          <w:tcPr>
            <w:tcW w:w="851" w:type="dxa"/>
          </w:tcPr>
          <w:p w14:paraId="501F367A" w14:textId="7EE87B96" w:rsidR="00FB2E9E" w:rsidRPr="00EF2B67" w:rsidRDefault="00CE7240" w:rsidP="005A7384">
            <w:pPr>
              <w:suppressAutoHyphens w:val="0"/>
              <w:ind w:left="57"/>
              <w:jc w:val="both"/>
              <w:rPr>
                <w:rFonts w:eastAsia="Calibri"/>
                <w:noProof/>
                <w:lang w:eastAsia="et-EE"/>
              </w:rPr>
            </w:pPr>
            <w:r>
              <w:rPr>
                <w:rFonts w:eastAsia="Calibri"/>
                <w:noProof/>
                <w:lang w:eastAsia="et-EE"/>
              </w:rPr>
              <w:t>80</w:t>
            </w:r>
          </w:p>
        </w:tc>
        <w:tc>
          <w:tcPr>
            <w:tcW w:w="1711" w:type="dxa"/>
          </w:tcPr>
          <w:p w14:paraId="5879B3CC" w14:textId="48CEEBA8" w:rsidR="00FB2E9E" w:rsidRPr="00EF2B67" w:rsidRDefault="00FB2E9E" w:rsidP="005A7384">
            <w:pPr>
              <w:suppressAutoHyphens w:val="0"/>
              <w:ind w:left="57"/>
              <w:jc w:val="both"/>
              <w:rPr>
                <w:rFonts w:eastAsia="Calibri"/>
                <w:noProof/>
                <w:lang w:eastAsia="et-EE"/>
              </w:rPr>
            </w:pPr>
            <w:r>
              <w:rPr>
                <w:rFonts w:eastAsia="Calibri"/>
                <w:noProof/>
                <w:lang w:eastAsia="et-EE"/>
              </w:rPr>
              <w:t>0</w:t>
            </w:r>
          </w:p>
        </w:tc>
        <w:tc>
          <w:tcPr>
            <w:tcW w:w="1842" w:type="dxa"/>
          </w:tcPr>
          <w:p w14:paraId="4FF36BE8" w14:textId="29C4306D" w:rsidR="00FB2E9E" w:rsidRPr="00EF2B67" w:rsidRDefault="006B607A" w:rsidP="005A7384">
            <w:pPr>
              <w:suppressAutoHyphens w:val="0"/>
              <w:ind w:left="57"/>
              <w:jc w:val="both"/>
              <w:rPr>
                <w:rFonts w:eastAsia="Calibri"/>
                <w:noProof/>
                <w:lang w:eastAsia="et-EE"/>
              </w:rPr>
            </w:pPr>
            <w:r>
              <w:rPr>
                <w:rFonts w:eastAsia="Calibri"/>
                <w:noProof/>
                <w:lang w:eastAsia="et-EE"/>
              </w:rPr>
              <w:t>0</w:t>
            </w:r>
          </w:p>
        </w:tc>
        <w:tc>
          <w:tcPr>
            <w:tcW w:w="1701" w:type="dxa"/>
          </w:tcPr>
          <w:p w14:paraId="487F721B" w14:textId="75EC3A21" w:rsidR="00FB2E9E" w:rsidRPr="00EF2B67" w:rsidRDefault="006B607A" w:rsidP="006B607A">
            <w:pPr>
              <w:suppressAutoHyphens w:val="0"/>
              <w:jc w:val="both"/>
              <w:rPr>
                <w:rFonts w:eastAsia="Calibri"/>
                <w:noProof/>
                <w:lang w:eastAsia="et-EE"/>
              </w:rPr>
            </w:pPr>
            <w:r>
              <w:rPr>
                <w:rFonts w:eastAsia="Calibri"/>
                <w:noProof/>
                <w:lang w:eastAsia="et-EE"/>
              </w:rPr>
              <w:t xml:space="preserve"> 0</w:t>
            </w:r>
          </w:p>
        </w:tc>
      </w:tr>
      <w:tr w:rsidR="00FB2E9E" w:rsidRPr="00EF2B67" w14:paraId="099E8533" w14:textId="77777777" w:rsidTr="00FB2E9E">
        <w:trPr>
          <w:trHeight w:val="342"/>
        </w:trPr>
        <w:tc>
          <w:tcPr>
            <w:tcW w:w="402" w:type="dxa"/>
          </w:tcPr>
          <w:p w14:paraId="5BEBA9E6" w14:textId="3BB5A9FF" w:rsidR="00FB2E9E" w:rsidRPr="00EF2B67" w:rsidRDefault="00FB2E9E" w:rsidP="005A7384">
            <w:pPr>
              <w:suppressAutoHyphens w:val="0"/>
              <w:ind w:left="57"/>
              <w:jc w:val="both"/>
              <w:rPr>
                <w:rFonts w:eastAsia="Calibri"/>
                <w:bCs/>
                <w:noProof/>
                <w:lang w:eastAsia="et-EE"/>
              </w:rPr>
            </w:pPr>
            <w:r>
              <w:rPr>
                <w:rFonts w:eastAsia="Calibri"/>
                <w:bCs/>
                <w:noProof/>
                <w:lang w:eastAsia="et-EE"/>
              </w:rPr>
              <w:t>3</w:t>
            </w:r>
          </w:p>
        </w:tc>
        <w:tc>
          <w:tcPr>
            <w:tcW w:w="3132" w:type="dxa"/>
          </w:tcPr>
          <w:p w14:paraId="7AE1C2FA" w14:textId="6DF1C850" w:rsidR="00FB2E9E" w:rsidRPr="00EF2B67" w:rsidRDefault="006B607A" w:rsidP="005A7384">
            <w:pPr>
              <w:suppressAutoHyphens w:val="0"/>
              <w:ind w:left="57"/>
              <w:jc w:val="both"/>
              <w:rPr>
                <w:rFonts w:eastAsia="Calibri"/>
                <w:noProof/>
                <w:lang w:eastAsia="et-EE"/>
              </w:rPr>
            </w:pPr>
            <w:r w:rsidRPr="006B607A">
              <w:rPr>
                <w:rFonts w:eastAsia="Calibri"/>
                <w:noProof/>
                <w:lang w:eastAsia="et-EE"/>
              </w:rPr>
              <w:t>Ida-Tallinna Keskhaigla</w:t>
            </w:r>
          </w:p>
        </w:tc>
        <w:tc>
          <w:tcPr>
            <w:tcW w:w="851" w:type="dxa"/>
          </w:tcPr>
          <w:p w14:paraId="4201FCA3" w14:textId="3AB11153" w:rsidR="00FB2E9E" w:rsidRPr="00EF2B67" w:rsidRDefault="00CE7240" w:rsidP="005A7384">
            <w:pPr>
              <w:suppressAutoHyphens w:val="0"/>
              <w:ind w:left="57"/>
              <w:jc w:val="both"/>
              <w:rPr>
                <w:rFonts w:eastAsia="Calibri"/>
                <w:noProof/>
                <w:lang w:eastAsia="et-EE"/>
              </w:rPr>
            </w:pPr>
            <w:r>
              <w:rPr>
                <w:rFonts w:eastAsia="Calibri"/>
                <w:noProof/>
                <w:lang w:eastAsia="et-EE"/>
              </w:rPr>
              <w:t>80</w:t>
            </w:r>
          </w:p>
        </w:tc>
        <w:tc>
          <w:tcPr>
            <w:tcW w:w="1711" w:type="dxa"/>
          </w:tcPr>
          <w:p w14:paraId="6145D0F4" w14:textId="3D0E07B4" w:rsidR="00FB2E9E" w:rsidRPr="00EF2B67" w:rsidRDefault="00FB2E9E" w:rsidP="005A7384">
            <w:pPr>
              <w:suppressAutoHyphens w:val="0"/>
              <w:ind w:left="57"/>
              <w:jc w:val="both"/>
              <w:rPr>
                <w:rFonts w:eastAsia="Calibri"/>
                <w:noProof/>
                <w:lang w:eastAsia="et-EE"/>
              </w:rPr>
            </w:pPr>
            <w:r>
              <w:rPr>
                <w:rFonts w:eastAsia="Calibri"/>
                <w:noProof/>
                <w:lang w:eastAsia="et-EE"/>
              </w:rPr>
              <w:t>0</w:t>
            </w:r>
          </w:p>
        </w:tc>
        <w:tc>
          <w:tcPr>
            <w:tcW w:w="1842" w:type="dxa"/>
          </w:tcPr>
          <w:p w14:paraId="4E6E1561" w14:textId="5E4A5862" w:rsidR="00FB2E9E" w:rsidRPr="00EF2B67" w:rsidRDefault="00FB2E9E" w:rsidP="005A7384">
            <w:pPr>
              <w:suppressAutoHyphens w:val="0"/>
              <w:ind w:left="57"/>
              <w:jc w:val="both"/>
              <w:rPr>
                <w:rFonts w:eastAsia="Calibri"/>
                <w:noProof/>
                <w:lang w:eastAsia="et-EE"/>
              </w:rPr>
            </w:pPr>
            <w:r>
              <w:rPr>
                <w:rFonts w:eastAsia="Calibri"/>
                <w:noProof/>
                <w:lang w:eastAsia="et-EE"/>
              </w:rPr>
              <w:t>0</w:t>
            </w:r>
          </w:p>
        </w:tc>
        <w:tc>
          <w:tcPr>
            <w:tcW w:w="1701" w:type="dxa"/>
          </w:tcPr>
          <w:p w14:paraId="703703ED" w14:textId="652D9931" w:rsidR="00FB2E9E" w:rsidRPr="00EF2B67" w:rsidRDefault="00FB2E9E" w:rsidP="005A7384">
            <w:pPr>
              <w:suppressAutoHyphens w:val="0"/>
              <w:ind w:left="57"/>
              <w:jc w:val="both"/>
              <w:rPr>
                <w:rFonts w:eastAsia="Calibri"/>
                <w:noProof/>
                <w:lang w:eastAsia="et-EE"/>
              </w:rPr>
            </w:pPr>
            <w:r>
              <w:rPr>
                <w:rFonts w:eastAsia="Calibri"/>
                <w:noProof/>
                <w:lang w:eastAsia="et-EE"/>
              </w:rPr>
              <w:t>0</w:t>
            </w:r>
          </w:p>
        </w:tc>
      </w:tr>
      <w:tr w:rsidR="00FB2E9E" w:rsidRPr="00EF2B67" w14:paraId="7FEC25AA" w14:textId="77777777" w:rsidTr="00FB2E9E">
        <w:trPr>
          <w:trHeight w:val="342"/>
        </w:trPr>
        <w:tc>
          <w:tcPr>
            <w:tcW w:w="402" w:type="dxa"/>
            <w:shd w:val="clear" w:color="auto" w:fill="B8CCE4"/>
          </w:tcPr>
          <w:p w14:paraId="2A943EB6" w14:textId="77777777" w:rsidR="00FB2E9E" w:rsidRPr="00EF2B67" w:rsidRDefault="00FB2E9E" w:rsidP="005A7384">
            <w:pPr>
              <w:suppressAutoHyphens w:val="0"/>
              <w:ind w:left="57"/>
              <w:jc w:val="both"/>
              <w:rPr>
                <w:rFonts w:eastAsia="Arial Unicode MS"/>
                <w:noProof/>
                <w:lang w:eastAsia="et-EE"/>
              </w:rPr>
            </w:pPr>
          </w:p>
        </w:tc>
        <w:tc>
          <w:tcPr>
            <w:tcW w:w="3132" w:type="dxa"/>
            <w:shd w:val="clear" w:color="auto" w:fill="B8CCE4"/>
            <w:noWrap/>
          </w:tcPr>
          <w:p w14:paraId="14368E0F" w14:textId="77777777" w:rsidR="00FB2E9E" w:rsidRPr="00EF2B67" w:rsidRDefault="00FB2E9E" w:rsidP="005A7384">
            <w:pPr>
              <w:suppressAutoHyphens w:val="0"/>
              <w:ind w:left="57"/>
              <w:jc w:val="both"/>
              <w:rPr>
                <w:rFonts w:eastAsia="Arial Unicode MS"/>
                <w:noProof/>
                <w:lang w:eastAsia="et-EE"/>
              </w:rPr>
            </w:pPr>
            <w:r w:rsidRPr="00EF2B67">
              <w:rPr>
                <w:rFonts w:eastAsia="Arial Unicode MS"/>
                <w:noProof/>
                <w:lang w:eastAsia="et-EE"/>
              </w:rPr>
              <w:t>KOKKU</w:t>
            </w:r>
          </w:p>
        </w:tc>
        <w:tc>
          <w:tcPr>
            <w:tcW w:w="851" w:type="dxa"/>
            <w:shd w:val="clear" w:color="auto" w:fill="B8CCE4"/>
            <w:noWrap/>
          </w:tcPr>
          <w:p w14:paraId="0BF482EF" w14:textId="56F85EFD" w:rsidR="00FB2E9E" w:rsidRPr="00EF2B67" w:rsidRDefault="00CE7240" w:rsidP="006B607A">
            <w:pPr>
              <w:suppressAutoHyphens w:val="0"/>
              <w:jc w:val="both"/>
              <w:rPr>
                <w:rFonts w:eastAsia="Arial Unicode MS"/>
                <w:noProof/>
                <w:lang w:eastAsia="et-EE"/>
              </w:rPr>
            </w:pPr>
            <w:r>
              <w:rPr>
                <w:rFonts w:eastAsia="Arial Unicode MS"/>
                <w:noProof/>
                <w:lang w:eastAsia="et-EE"/>
              </w:rPr>
              <w:t>240</w:t>
            </w:r>
          </w:p>
        </w:tc>
        <w:tc>
          <w:tcPr>
            <w:tcW w:w="1711" w:type="dxa"/>
            <w:shd w:val="clear" w:color="auto" w:fill="B8CCE4"/>
            <w:noWrap/>
          </w:tcPr>
          <w:p w14:paraId="3E4FC81E" w14:textId="16617324" w:rsidR="00FB2E9E" w:rsidRPr="00EF2B67" w:rsidRDefault="00EE1BEB" w:rsidP="005A7384">
            <w:pPr>
              <w:suppressAutoHyphens w:val="0"/>
              <w:ind w:left="57"/>
              <w:jc w:val="both"/>
              <w:rPr>
                <w:rFonts w:eastAsia="Arial Unicode MS"/>
                <w:noProof/>
                <w:lang w:eastAsia="et-EE"/>
              </w:rPr>
            </w:pPr>
            <w:r>
              <w:rPr>
                <w:rFonts w:eastAsia="Arial Unicode MS"/>
                <w:noProof/>
                <w:lang w:eastAsia="et-EE"/>
              </w:rPr>
              <w:t>0</w:t>
            </w:r>
          </w:p>
        </w:tc>
        <w:tc>
          <w:tcPr>
            <w:tcW w:w="1842" w:type="dxa"/>
            <w:shd w:val="clear" w:color="auto" w:fill="B8CCE4"/>
          </w:tcPr>
          <w:p w14:paraId="15BCF0B5" w14:textId="66828C7A" w:rsidR="00FB2E9E" w:rsidRPr="00EF2B67" w:rsidRDefault="006B607A" w:rsidP="006B607A">
            <w:pPr>
              <w:suppressAutoHyphens w:val="0"/>
              <w:jc w:val="both"/>
              <w:rPr>
                <w:rFonts w:eastAsia="Arial Unicode MS"/>
                <w:noProof/>
                <w:lang w:eastAsia="et-EE"/>
              </w:rPr>
            </w:pPr>
            <w:r>
              <w:rPr>
                <w:rFonts w:eastAsia="Arial Unicode MS"/>
                <w:noProof/>
                <w:lang w:eastAsia="et-EE"/>
              </w:rPr>
              <w:t>0</w:t>
            </w:r>
          </w:p>
        </w:tc>
        <w:tc>
          <w:tcPr>
            <w:tcW w:w="1701" w:type="dxa"/>
            <w:shd w:val="clear" w:color="auto" w:fill="B8CCE4"/>
            <w:noWrap/>
          </w:tcPr>
          <w:p w14:paraId="0C6B0003" w14:textId="38350A24" w:rsidR="00FB2E9E" w:rsidRPr="00EF2B67" w:rsidRDefault="00CE7240" w:rsidP="005A7384">
            <w:pPr>
              <w:suppressAutoHyphens w:val="0"/>
              <w:ind w:left="57"/>
              <w:jc w:val="both"/>
              <w:rPr>
                <w:rFonts w:eastAsia="Arial Unicode MS"/>
                <w:noProof/>
                <w:lang w:eastAsia="et-EE"/>
              </w:rPr>
            </w:pPr>
            <w:r>
              <w:rPr>
                <w:rFonts w:eastAsia="Arial Unicode MS"/>
                <w:noProof/>
                <w:lang w:eastAsia="et-EE"/>
              </w:rPr>
              <w:t>0</w:t>
            </w:r>
          </w:p>
        </w:tc>
      </w:tr>
    </w:tbl>
    <w:p w14:paraId="216DDBE7" w14:textId="77777777" w:rsidR="00A379A7" w:rsidRPr="00EF2B67" w:rsidRDefault="00A379A7" w:rsidP="005A7384">
      <w:pPr>
        <w:suppressAutoHyphens w:val="0"/>
        <w:spacing w:before="40"/>
        <w:jc w:val="both"/>
        <w:rPr>
          <w:rFonts w:eastAsia="Calibri"/>
          <w:b/>
          <w:bCs/>
          <w:noProof/>
          <w:lang w:eastAsia="et-EE"/>
        </w:rPr>
      </w:pPr>
      <w:r w:rsidRPr="00EF2B67">
        <w:rPr>
          <w:rFonts w:eastAsia="Calibri"/>
          <w:bCs/>
          <w:noProof/>
          <w:sz w:val="20"/>
          <w:szCs w:val="20"/>
          <w:lang w:eastAsia="et-EE"/>
        </w:rPr>
        <w:t xml:space="preserve">*protsent kogu </w:t>
      </w:r>
      <w:r>
        <w:rPr>
          <w:rFonts w:eastAsia="Calibri"/>
          <w:bCs/>
          <w:noProof/>
          <w:sz w:val="20"/>
          <w:szCs w:val="20"/>
          <w:lang w:eastAsia="et-EE"/>
        </w:rPr>
        <w:t xml:space="preserve">hinnatud </w:t>
      </w:r>
      <w:r w:rsidRPr="00EF2B67">
        <w:rPr>
          <w:rFonts w:eastAsia="Calibri"/>
          <w:bCs/>
          <w:noProof/>
          <w:sz w:val="20"/>
          <w:szCs w:val="20"/>
          <w:lang w:eastAsia="et-EE"/>
        </w:rPr>
        <w:t>(planeeritud+kaasuvad) RhkDok summast</w:t>
      </w:r>
    </w:p>
    <w:p w14:paraId="0E99EB30" w14:textId="3FDFACC0" w:rsidR="00A379A7" w:rsidRPr="00E42F9C" w:rsidRDefault="00A379A7" w:rsidP="005A7384">
      <w:pPr>
        <w:keepNext/>
        <w:numPr>
          <w:ilvl w:val="1"/>
          <w:numId w:val="2"/>
        </w:numPr>
        <w:tabs>
          <w:tab w:val="left" w:pos="709"/>
        </w:tabs>
        <w:suppressAutoHyphens w:val="0"/>
        <w:spacing w:before="120" w:after="120"/>
        <w:ind w:left="709" w:hanging="425"/>
        <w:jc w:val="both"/>
        <w:outlineLvl w:val="1"/>
        <w:rPr>
          <w:rFonts w:eastAsia="Calibri"/>
          <w:bCs/>
          <w:noProof/>
          <w:lang w:eastAsia="et-EE"/>
        </w:rPr>
      </w:pPr>
      <w:r w:rsidRPr="00E42F9C">
        <w:rPr>
          <w:rFonts w:eastAsia="Calibri"/>
          <w:bCs/>
          <w:noProof/>
          <w:lang w:eastAsia="et-EE"/>
        </w:rPr>
        <w:t xml:space="preserve">Hindamise tulemused </w:t>
      </w:r>
    </w:p>
    <w:p w14:paraId="5ED5C954" w14:textId="582D72FB" w:rsidR="003322C4" w:rsidRPr="00E42F9C" w:rsidRDefault="003322C4" w:rsidP="005A7384">
      <w:pPr>
        <w:keepNext/>
        <w:numPr>
          <w:ilvl w:val="2"/>
          <w:numId w:val="2"/>
        </w:numPr>
        <w:tabs>
          <w:tab w:val="left" w:pos="709"/>
        </w:tabs>
        <w:suppressAutoHyphens w:val="0"/>
        <w:spacing w:before="120" w:after="120"/>
        <w:jc w:val="both"/>
        <w:outlineLvl w:val="1"/>
        <w:rPr>
          <w:rFonts w:eastAsia="Calibri"/>
          <w:noProof/>
          <w:lang w:eastAsia="et-EE"/>
        </w:rPr>
      </w:pPr>
      <w:r w:rsidRPr="00E42F9C">
        <w:rPr>
          <w:rFonts w:eastAsia="Calibri"/>
          <w:noProof/>
          <w:lang w:eastAsia="et-EE"/>
        </w:rPr>
        <w:t>Ravidokumentide hindamine</w:t>
      </w:r>
    </w:p>
    <w:p w14:paraId="62A0F267" w14:textId="5A1C2077" w:rsidR="004A06D4" w:rsidRPr="003322C4" w:rsidRDefault="000B5537" w:rsidP="00B05A2F">
      <w:pPr>
        <w:jc w:val="both"/>
        <w:rPr>
          <w:rFonts w:eastAsia="Calibri"/>
          <w:b/>
          <w:bCs/>
          <w:noProof/>
          <w:lang w:eastAsia="et-EE"/>
        </w:rPr>
      </w:pPr>
      <w:r w:rsidRPr="003322C4">
        <w:rPr>
          <w:rFonts w:eastAsia="Calibri"/>
          <w:noProof/>
          <w:lang w:eastAsia="et-EE"/>
        </w:rPr>
        <w:t>Hinnatavad ravidokumendid olid partnerite elektroonilises infosüsteemis (EHL)</w:t>
      </w:r>
      <w:r w:rsidR="00F92BFC">
        <w:rPr>
          <w:rFonts w:eastAsia="Calibri"/>
          <w:noProof/>
          <w:lang w:eastAsia="et-EE"/>
        </w:rPr>
        <w:t xml:space="preserve"> olevad </w:t>
      </w:r>
      <w:r w:rsidR="00F45E18">
        <w:rPr>
          <w:rFonts w:eastAsia="Calibri"/>
          <w:noProof/>
          <w:lang w:eastAsia="et-EE"/>
        </w:rPr>
        <w:t>statsionaarse õendusabi ravilood</w:t>
      </w:r>
      <w:r w:rsidR="001E4DE9">
        <w:rPr>
          <w:rFonts w:eastAsia="Calibri"/>
          <w:noProof/>
          <w:lang w:eastAsia="et-EE"/>
        </w:rPr>
        <w:t xml:space="preserve"> ja PDF failid, mis edastati raviasutuse poolt krüpteeritult digikonteinerites.</w:t>
      </w:r>
      <w:r w:rsidRPr="003322C4">
        <w:rPr>
          <w:rFonts w:eastAsia="Calibri"/>
          <w:noProof/>
          <w:lang w:eastAsia="et-EE"/>
        </w:rPr>
        <w:t xml:space="preserve"> </w:t>
      </w:r>
      <w:r w:rsidR="004A06D4" w:rsidRPr="004A06D4">
        <w:rPr>
          <w:sz w:val="23"/>
          <w:szCs w:val="23"/>
        </w:rPr>
        <w:t>Hinnatud dokumentide sissekanded kajastasid pöördumise põhjuseid, anamneesi, kaebuseid, objektiivset leidu, teostatud analüüse, uuringuid, määratud ravi, seisundi dünaamikat, edasi suunamise andmeid. Haigusloo sissekanded andsid ülevaate ravijuhu käsitlusest ning vastasid dokumenteerimise määruse nõuetele.</w:t>
      </w:r>
    </w:p>
    <w:p w14:paraId="503D0429" w14:textId="77777777" w:rsidR="00E02BE6" w:rsidRPr="00DE3104" w:rsidRDefault="00E02BE6" w:rsidP="005A7384">
      <w:pPr>
        <w:rPr>
          <w:rFonts w:eastAsia="Calibri"/>
          <w:noProof/>
          <w:lang w:eastAsia="et-EE"/>
        </w:rPr>
      </w:pPr>
    </w:p>
    <w:p w14:paraId="3A5CAE82" w14:textId="74483821" w:rsidR="00E02BE6" w:rsidRPr="00E42F9C" w:rsidRDefault="003322C4" w:rsidP="005A7384">
      <w:pPr>
        <w:pStyle w:val="ListParagraph"/>
        <w:keepNext/>
        <w:numPr>
          <w:ilvl w:val="2"/>
          <w:numId w:val="2"/>
        </w:numPr>
        <w:tabs>
          <w:tab w:val="left" w:pos="709"/>
        </w:tabs>
        <w:suppressAutoHyphens w:val="0"/>
        <w:spacing w:before="120" w:after="120"/>
        <w:jc w:val="both"/>
        <w:outlineLvl w:val="1"/>
        <w:rPr>
          <w:rFonts w:eastAsia="Calibri"/>
          <w:noProof/>
          <w:lang w:eastAsia="et-EE"/>
        </w:rPr>
      </w:pPr>
      <w:r w:rsidRPr="00E42F9C">
        <w:rPr>
          <w:rFonts w:eastAsia="Calibri"/>
          <w:noProof/>
          <w:lang w:eastAsia="et-EE"/>
        </w:rPr>
        <w:t>Ravidokumentide sisuline hindamine</w:t>
      </w:r>
    </w:p>
    <w:p w14:paraId="119E46E6" w14:textId="4BB9C70A" w:rsidR="00117643" w:rsidRPr="00117643" w:rsidRDefault="00117643" w:rsidP="00117643">
      <w:pPr>
        <w:keepNext/>
        <w:tabs>
          <w:tab w:val="left" w:pos="709"/>
        </w:tabs>
        <w:suppressAutoHyphens w:val="0"/>
        <w:spacing w:before="120" w:after="120"/>
        <w:jc w:val="both"/>
        <w:outlineLvl w:val="1"/>
        <w:rPr>
          <w:rFonts w:eastAsia="Calibri"/>
          <w:b/>
          <w:bCs/>
          <w:noProof/>
          <w:lang w:eastAsia="et-EE"/>
        </w:rPr>
      </w:pPr>
      <w:r w:rsidRPr="004139E7">
        <w:rPr>
          <w:rFonts w:eastAsia="Calibri"/>
          <w:noProof/>
          <w:lang w:eastAsia="et-EE"/>
        </w:rPr>
        <w:t xml:space="preserve">Hinnati </w:t>
      </w:r>
      <w:r>
        <w:rPr>
          <w:rFonts w:eastAsia="Calibri"/>
          <w:noProof/>
          <w:lang w:eastAsia="et-EE"/>
        </w:rPr>
        <w:t xml:space="preserve">3 </w:t>
      </w:r>
      <w:r w:rsidRPr="004139E7">
        <w:rPr>
          <w:rFonts w:eastAsia="Calibri"/>
          <w:noProof/>
          <w:lang w:eastAsia="et-EE"/>
        </w:rPr>
        <w:t>partneri</w:t>
      </w:r>
      <w:r w:rsidR="00AD27AA">
        <w:rPr>
          <w:rFonts w:eastAsia="Calibri"/>
          <w:noProof/>
          <w:lang w:eastAsia="et-EE"/>
        </w:rPr>
        <w:t xml:space="preserve"> 199 </w:t>
      </w:r>
      <w:r>
        <w:rPr>
          <w:rFonts w:eastAsia="Calibri"/>
          <w:noProof/>
          <w:lang w:eastAsia="et-EE"/>
        </w:rPr>
        <w:t>isiku 240</w:t>
      </w:r>
      <w:r w:rsidRPr="004139E7">
        <w:rPr>
          <w:rFonts w:eastAsia="Calibri"/>
          <w:noProof/>
          <w:lang w:eastAsia="et-EE"/>
        </w:rPr>
        <w:t xml:space="preserve"> ravijuhtu/raviarvet, millele oli kodeeritud</w:t>
      </w:r>
      <w:r>
        <w:rPr>
          <w:rFonts w:eastAsia="Calibri"/>
          <w:noProof/>
          <w:lang w:eastAsia="et-EE"/>
        </w:rPr>
        <w:t xml:space="preserve"> teenus „Statsionaarne hospiitsrav</w:t>
      </w:r>
      <w:r w:rsidR="001F5CB6">
        <w:rPr>
          <w:rFonts w:eastAsia="Calibri"/>
          <w:noProof/>
          <w:lang w:eastAsia="et-EE"/>
        </w:rPr>
        <w:t>i</w:t>
      </w:r>
    </w:p>
    <w:p w14:paraId="02B070CA" w14:textId="77777777" w:rsidR="00B05A2F" w:rsidRPr="00B05A2F" w:rsidRDefault="00B05A2F" w:rsidP="00B05A2F">
      <w:pPr>
        <w:jc w:val="both"/>
        <w:rPr>
          <w:sz w:val="23"/>
          <w:szCs w:val="23"/>
        </w:rPr>
      </w:pPr>
      <w:r w:rsidRPr="00B05A2F">
        <w:rPr>
          <w:rFonts w:eastAsia="Calibri"/>
          <w:bCs/>
          <w:sz w:val="23"/>
          <w:szCs w:val="23"/>
          <w:lang w:eastAsia="et-EE"/>
        </w:rPr>
        <w:t>Sisulisel hindamisel lähtuti TTL § 14-s sätestatud rakendussätetest:</w:t>
      </w:r>
      <w:r w:rsidRPr="00B05A2F">
        <w:rPr>
          <w:rFonts w:eastAsia="Calibri"/>
          <w:b/>
          <w:sz w:val="23"/>
          <w:szCs w:val="23"/>
          <w:lang w:eastAsia="et-EE"/>
        </w:rPr>
        <w:t xml:space="preserve"> </w:t>
      </w:r>
    </w:p>
    <w:p w14:paraId="45E3A184" w14:textId="77777777" w:rsidR="00B05A2F" w:rsidRPr="00B05A2F" w:rsidRDefault="00B05A2F" w:rsidP="00B05A2F">
      <w:pPr>
        <w:jc w:val="both"/>
        <w:rPr>
          <w:sz w:val="23"/>
          <w:szCs w:val="23"/>
        </w:rPr>
      </w:pPr>
      <w:r w:rsidRPr="00B05A2F">
        <w:rPr>
          <w:rFonts w:eastAsia="Calibri"/>
          <w:bCs/>
          <w:i/>
          <w:iCs/>
          <w:sz w:val="23"/>
          <w:szCs w:val="23"/>
          <w:lang w:eastAsia="et-EE"/>
        </w:rPr>
        <w:t xml:space="preserve">Haige ravil viibimisel sama tervishoiuteenuse osutaja eri osakondades ei tohi lõikes 1 loetletud erialajärgsete voodipäevade arv eraldi ületada vastavat voodipäevade maksimumarvu ning kokku suurimat voodipäevade maksimumarvu (v.a koodidega 2063, 2067, 2071, 2072, 2073, 2047 ja </w:t>
      </w:r>
      <w:r w:rsidRPr="00B05A2F">
        <w:rPr>
          <w:rFonts w:eastAsia="Calibri"/>
          <w:b/>
          <w:i/>
          <w:iCs/>
          <w:sz w:val="23"/>
          <w:szCs w:val="23"/>
          <w:lang w:eastAsia="et-EE"/>
        </w:rPr>
        <w:t>2068</w:t>
      </w:r>
      <w:r w:rsidRPr="00B05A2F">
        <w:rPr>
          <w:rFonts w:eastAsia="Calibri"/>
          <w:bCs/>
          <w:i/>
          <w:iCs/>
          <w:sz w:val="23"/>
          <w:szCs w:val="23"/>
          <w:lang w:eastAsia="et-EE"/>
        </w:rPr>
        <w:t xml:space="preserve"> tähistatud tervishoiuteenused).</w:t>
      </w:r>
    </w:p>
    <w:p w14:paraId="48B81E45" w14:textId="77777777" w:rsidR="00B05A2F" w:rsidRPr="00B05A2F" w:rsidRDefault="00B05A2F" w:rsidP="00B05A2F">
      <w:pPr>
        <w:pStyle w:val="ListParagraph"/>
        <w:ind w:left="360"/>
        <w:jc w:val="both"/>
        <w:rPr>
          <w:rFonts w:eastAsia="Calibri"/>
          <w:bCs/>
          <w:i/>
          <w:iCs/>
          <w:sz w:val="23"/>
          <w:szCs w:val="23"/>
          <w:lang w:eastAsia="et-EE"/>
        </w:rPr>
      </w:pPr>
    </w:p>
    <w:p w14:paraId="5A6E1B53" w14:textId="77777777" w:rsidR="00B05A2F" w:rsidRPr="00B05A2F" w:rsidRDefault="00B05A2F" w:rsidP="00B05A2F">
      <w:pPr>
        <w:jc w:val="both"/>
        <w:rPr>
          <w:sz w:val="23"/>
          <w:szCs w:val="23"/>
        </w:rPr>
      </w:pPr>
      <w:r w:rsidRPr="00B05A2F">
        <w:rPr>
          <w:rFonts w:eastAsia="Calibri"/>
          <w:bCs/>
          <w:i/>
          <w:iCs/>
          <w:sz w:val="23"/>
          <w:szCs w:val="23"/>
          <w:lang w:eastAsia="et-EE"/>
        </w:rPr>
        <w:lastRenderedPageBreak/>
        <w:t xml:space="preserve">Haige ravil viibimisel sama tervishoiuteenuse osutaja intensiivraviosakonnas ja teistes osakondades ei rakendata koodidega 2065, 2066, 2058, 2060, 2026, 2034, 2047, 2063 ja </w:t>
      </w:r>
      <w:r w:rsidRPr="00B05A2F">
        <w:rPr>
          <w:rFonts w:eastAsia="Calibri"/>
          <w:b/>
          <w:i/>
          <w:iCs/>
          <w:sz w:val="23"/>
          <w:szCs w:val="23"/>
          <w:lang w:eastAsia="et-EE"/>
        </w:rPr>
        <w:t xml:space="preserve">2068 </w:t>
      </w:r>
      <w:r w:rsidRPr="00B05A2F">
        <w:rPr>
          <w:rFonts w:eastAsia="Calibri"/>
          <w:bCs/>
          <w:i/>
          <w:iCs/>
          <w:sz w:val="23"/>
          <w:szCs w:val="23"/>
          <w:lang w:eastAsia="et-EE"/>
        </w:rPr>
        <w:t>tähistatud tervishoiuteenuse voodipäeva piirhinda juhul, kui haige viibis vastavas osakonnas vähem kui kuus tundi (v.a koodidega 2070, 2071, 2072 ja 2073 tähistatud tervishoiuteenused).</w:t>
      </w:r>
    </w:p>
    <w:p w14:paraId="4D1B2C53" w14:textId="77777777" w:rsidR="00B05A2F" w:rsidRPr="00B05A2F" w:rsidRDefault="00B05A2F" w:rsidP="00B05A2F">
      <w:pPr>
        <w:pStyle w:val="ListParagraph"/>
        <w:ind w:left="360"/>
        <w:jc w:val="both"/>
        <w:rPr>
          <w:rFonts w:eastAsia="Calibri"/>
          <w:bCs/>
          <w:i/>
          <w:iCs/>
          <w:sz w:val="23"/>
          <w:szCs w:val="23"/>
          <w:lang w:eastAsia="et-EE"/>
        </w:rPr>
      </w:pPr>
    </w:p>
    <w:p w14:paraId="26803895" w14:textId="77777777"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Haigekassa võtab koodiga 2068 tähistatud tervishoiuteenuse eest tasu maksmise kohustuse üle järgmistel juhtudel:</w:t>
      </w:r>
    </w:p>
    <w:p w14:paraId="20076A19" w14:textId="1E03730C"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 xml:space="preserve"> 1) ravidokumentides on fikseeritud parima toetava ravi otsus või otsus haigusspetsiifilise ravi lõpetamise kohta (sh konsiiliumi otsus);</w:t>
      </w:r>
    </w:p>
    <w:p w14:paraId="577DFCE0" w14:textId="03934721"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2) patsient on hinnatud PPSv2 (</w:t>
      </w:r>
      <w:proofErr w:type="spellStart"/>
      <w:r w:rsidRPr="00B05A2F">
        <w:rPr>
          <w:rFonts w:eastAsia="Calibri"/>
          <w:bCs/>
          <w:i/>
          <w:iCs/>
          <w:sz w:val="23"/>
          <w:szCs w:val="23"/>
          <w:lang w:eastAsia="et-EE"/>
        </w:rPr>
        <w:t>Palliative</w:t>
      </w:r>
      <w:proofErr w:type="spellEnd"/>
      <w:r w:rsidRPr="00B05A2F">
        <w:rPr>
          <w:rFonts w:eastAsia="Calibri"/>
          <w:bCs/>
          <w:i/>
          <w:iCs/>
          <w:sz w:val="23"/>
          <w:szCs w:val="23"/>
          <w:lang w:eastAsia="et-EE"/>
        </w:rPr>
        <w:t xml:space="preserve"> </w:t>
      </w:r>
      <w:proofErr w:type="spellStart"/>
      <w:r w:rsidRPr="00B05A2F">
        <w:rPr>
          <w:rFonts w:eastAsia="Calibri"/>
          <w:bCs/>
          <w:i/>
          <w:iCs/>
          <w:sz w:val="23"/>
          <w:szCs w:val="23"/>
          <w:lang w:eastAsia="et-EE"/>
        </w:rPr>
        <w:t>Performance</w:t>
      </w:r>
      <w:proofErr w:type="spellEnd"/>
      <w:r w:rsidRPr="00B05A2F">
        <w:rPr>
          <w:rFonts w:eastAsia="Calibri"/>
          <w:bCs/>
          <w:i/>
          <w:iCs/>
          <w:sz w:val="23"/>
          <w:szCs w:val="23"/>
          <w:lang w:eastAsia="et-EE"/>
        </w:rPr>
        <w:t xml:space="preserve"> </w:t>
      </w:r>
      <w:proofErr w:type="spellStart"/>
      <w:r w:rsidRPr="00B05A2F">
        <w:rPr>
          <w:rFonts w:eastAsia="Calibri"/>
          <w:bCs/>
          <w:i/>
          <w:iCs/>
          <w:sz w:val="23"/>
          <w:szCs w:val="23"/>
          <w:lang w:eastAsia="et-EE"/>
        </w:rPr>
        <w:t>Scale</w:t>
      </w:r>
      <w:proofErr w:type="spellEnd"/>
      <w:r w:rsidRPr="00B05A2F">
        <w:rPr>
          <w:rFonts w:eastAsia="Calibri"/>
          <w:bCs/>
          <w:i/>
          <w:iCs/>
          <w:sz w:val="23"/>
          <w:szCs w:val="23"/>
          <w:lang w:eastAsia="et-EE"/>
        </w:rPr>
        <w:t>) alusel;</w:t>
      </w:r>
    </w:p>
    <w:p w14:paraId="175AF545" w14:textId="59DB795A"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3) patsiendil on hinnatud hospiitsravi vajaduse indikaatorseisundid;</w:t>
      </w:r>
    </w:p>
    <w:p w14:paraId="17800E04" w14:textId="23F3CB50"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4) tagatud on ööpäevaringne eriarsti valmisolek konsulteerida;</w:t>
      </w:r>
    </w:p>
    <w:p w14:paraId="26A680E7" w14:textId="4A5A691B"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5) koodiga 2068 tähistatud tervishoiuteenusele rakendatakse koodiga 7765 tähistatud tervishoiuteenust, kui osutub vajalikuks patsiendi kontrollitud analgeesiaseadme paigaldus;</w:t>
      </w:r>
    </w:p>
    <w:p w14:paraId="5CABE267" w14:textId="1EE6F3C3"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6) koodiga 2068 tähistatud tervishoiuteenuse voodipäevade maksimumarvu võib pikendada, kui on toimunud uus hindamine vastavalt ravi rahastamise lepingus fikseeritud tingimustele ja korrale;</w:t>
      </w:r>
    </w:p>
    <w:p w14:paraId="49196402" w14:textId="440EEA4F" w:rsidR="00B05A2F" w:rsidRPr="00B05A2F" w:rsidRDefault="00B05A2F" w:rsidP="00B05A2F">
      <w:pPr>
        <w:jc w:val="both"/>
        <w:rPr>
          <w:rFonts w:eastAsia="Calibri"/>
          <w:bCs/>
          <w:i/>
          <w:iCs/>
          <w:sz w:val="23"/>
          <w:szCs w:val="23"/>
          <w:lang w:eastAsia="et-EE"/>
        </w:rPr>
      </w:pPr>
      <w:r w:rsidRPr="00B05A2F">
        <w:rPr>
          <w:rFonts w:eastAsia="Calibri"/>
          <w:bCs/>
          <w:i/>
          <w:iCs/>
          <w:sz w:val="23"/>
          <w:szCs w:val="23"/>
          <w:lang w:eastAsia="et-EE"/>
        </w:rPr>
        <w:t>7) koodiga 2068 tähistatud tervishoiuteenusega koos ei rakendata koodiga 7142 tähistatud teenust.</w:t>
      </w:r>
    </w:p>
    <w:p w14:paraId="6E1E6B5A" w14:textId="77777777" w:rsidR="00B05A2F" w:rsidRPr="00B05A2F" w:rsidRDefault="00B05A2F" w:rsidP="00B05A2F">
      <w:pPr>
        <w:pStyle w:val="ListParagraph"/>
        <w:ind w:left="360"/>
        <w:jc w:val="both"/>
        <w:rPr>
          <w:sz w:val="23"/>
          <w:szCs w:val="23"/>
        </w:rPr>
      </w:pPr>
    </w:p>
    <w:p w14:paraId="2009589A" w14:textId="0D5AA174" w:rsidR="00B05A2F" w:rsidRPr="00B05A2F" w:rsidRDefault="00B05A2F" w:rsidP="00B05A2F">
      <w:pPr>
        <w:jc w:val="both"/>
        <w:rPr>
          <w:sz w:val="23"/>
          <w:szCs w:val="23"/>
        </w:rPr>
      </w:pPr>
      <w:r w:rsidRPr="00B05A2F">
        <w:rPr>
          <w:sz w:val="23"/>
          <w:szCs w:val="23"/>
        </w:rPr>
        <w:t>Kõikidel juhtudel oli ravidokumentides fikseeritud parima toetava ravi otsus (sh konsiiliumi otsus) ja patsiendid olid hinnatud PPSv2 alusel ning hinnatud olid hospiitsravi vajaduse indikaatorseisundid.</w:t>
      </w:r>
    </w:p>
    <w:p w14:paraId="2198DDFE" w14:textId="77777777" w:rsidR="00B05A2F" w:rsidRPr="00B05A2F" w:rsidRDefault="00B05A2F" w:rsidP="00B05A2F">
      <w:pPr>
        <w:jc w:val="both"/>
        <w:rPr>
          <w:sz w:val="23"/>
          <w:szCs w:val="23"/>
        </w:rPr>
      </w:pPr>
    </w:p>
    <w:p w14:paraId="00892F25" w14:textId="77B5B030" w:rsidR="00B05A2F" w:rsidRPr="00FB2AC8" w:rsidRDefault="00B05A2F" w:rsidP="00FB2AC8">
      <w:pPr>
        <w:pStyle w:val="ListParagraph"/>
        <w:numPr>
          <w:ilvl w:val="0"/>
          <w:numId w:val="15"/>
        </w:numPr>
        <w:jc w:val="both"/>
        <w:rPr>
          <w:sz w:val="23"/>
          <w:szCs w:val="23"/>
        </w:rPr>
      </w:pPr>
      <w:r w:rsidRPr="00FB2AC8">
        <w:rPr>
          <w:sz w:val="23"/>
          <w:szCs w:val="23"/>
        </w:rPr>
        <w:t>Ravi jätkamise vajadus</w:t>
      </w:r>
    </w:p>
    <w:p w14:paraId="6D123098" w14:textId="2B1B4B9B" w:rsidR="00B05A2F" w:rsidRPr="00B05A2F" w:rsidRDefault="00B05A2F" w:rsidP="00B05A2F">
      <w:pPr>
        <w:jc w:val="both"/>
        <w:rPr>
          <w:rFonts w:eastAsia="Calibri"/>
          <w:b/>
          <w:bCs/>
          <w:noProof/>
          <w:lang w:eastAsia="et-EE"/>
        </w:rPr>
      </w:pPr>
      <w:r w:rsidRPr="00B05A2F">
        <w:rPr>
          <w:sz w:val="23"/>
          <w:szCs w:val="23"/>
        </w:rPr>
        <w:t>Hindamise aluseks TTL § 14 ja RRL Lisa 2 punkt 2.1 mis sätestab, et patsiendi seisundist tuleneva ning haigusloos dokumenteeritud ravi jätkamise vajaduse olemasolul on võimalik statsionaarse hospiitsteenuse osutamine kestusega üle 14 päeva.</w:t>
      </w:r>
      <w:r w:rsidR="00FB2AC8">
        <w:rPr>
          <w:sz w:val="23"/>
          <w:szCs w:val="23"/>
        </w:rPr>
        <w:t xml:space="preserve"> </w:t>
      </w:r>
      <w:r w:rsidRPr="00B05A2F">
        <w:rPr>
          <w:sz w:val="23"/>
          <w:szCs w:val="23"/>
        </w:rPr>
        <w:t>Kõikidel juhtudel, ravi kestusel üle 14 päeva, oli patsiendi seisundi kordushindamine toimunud ja see oli dokumenteeritud ning ravi pikendati, seisundile vastavalt, põhjendatult.</w:t>
      </w:r>
    </w:p>
    <w:p w14:paraId="01116B1C" w14:textId="77777777" w:rsidR="001850C1" w:rsidRPr="004139E7" w:rsidRDefault="001850C1" w:rsidP="005A7384">
      <w:pPr>
        <w:jc w:val="both"/>
        <w:rPr>
          <w:rFonts w:eastAsia="Calibri"/>
          <w:noProof/>
          <w:lang w:eastAsia="et-EE"/>
        </w:rPr>
      </w:pPr>
    </w:p>
    <w:p w14:paraId="01446382" w14:textId="40D990C3" w:rsidR="003322C4" w:rsidRPr="00E42F9C" w:rsidRDefault="003322C4" w:rsidP="00E61853">
      <w:pPr>
        <w:pStyle w:val="ListParagraph"/>
        <w:keepNext/>
        <w:numPr>
          <w:ilvl w:val="2"/>
          <w:numId w:val="2"/>
        </w:numPr>
        <w:tabs>
          <w:tab w:val="left" w:pos="709"/>
        </w:tabs>
        <w:suppressAutoHyphens w:val="0"/>
        <w:spacing w:before="120" w:after="120"/>
        <w:jc w:val="both"/>
        <w:outlineLvl w:val="1"/>
        <w:rPr>
          <w:rFonts w:eastAsia="Calibri"/>
          <w:noProof/>
          <w:lang w:eastAsia="et-EE"/>
        </w:rPr>
      </w:pPr>
      <w:r w:rsidRPr="00E42F9C">
        <w:rPr>
          <w:rFonts w:eastAsia="Calibri"/>
          <w:noProof/>
          <w:lang w:eastAsia="et-EE"/>
        </w:rPr>
        <w:t>Raviarvete vormistamine</w:t>
      </w:r>
    </w:p>
    <w:p w14:paraId="272FAA82" w14:textId="77777777" w:rsidR="00E61853" w:rsidRPr="00E61853" w:rsidRDefault="00E61853" w:rsidP="00E61853">
      <w:pPr>
        <w:pStyle w:val="ListParagraph"/>
        <w:rPr>
          <w:rFonts w:eastAsia="Calibri"/>
          <w:bCs/>
          <w:noProof/>
          <w:lang w:eastAsia="et-EE"/>
        </w:rPr>
      </w:pPr>
    </w:p>
    <w:p w14:paraId="6FB051F3" w14:textId="4A029B28" w:rsidR="00E61853" w:rsidRPr="00994257" w:rsidRDefault="00E61853" w:rsidP="00E61853">
      <w:pPr>
        <w:jc w:val="both"/>
        <w:rPr>
          <w:sz w:val="23"/>
          <w:szCs w:val="23"/>
        </w:rPr>
      </w:pPr>
      <w:r w:rsidRPr="00994257">
        <w:rPr>
          <w:sz w:val="23"/>
          <w:szCs w:val="23"/>
        </w:rPr>
        <w:t xml:space="preserve">Raviarvetele kantud tervishoiuteenused ja nende hulgad vastasid ravidokumendis dokumenteeritule. </w:t>
      </w:r>
      <w:r w:rsidRPr="00994257">
        <w:rPr>
          <w:rFonts w:eastAsia="Calibri"/>
          <w:sz w:val="23"/>
          <w:szCs w:val="23"/>
          <w:lang w:eastAsia="et-EE"/>
        </w:rPr>
        <w:t>Raviarvete teised tunnused vastasid ravidokumendile.</w:t>
      </w:r>
    </w:p>
    <w:p w14:paraId="5D192103" w14:textId="77777777" w:rsidR="00502ADC" w:rsidRDefault="00502ADC" w:rsidP="00502ADC">
      <w:pPr>
        <w:jc w:val="both"/>
        <w:rPr>
          <w:rFonts w:eastAsia="Calibri"/>
          <w:noProof/>
          <w:lang w:eastAsia="et-EE"/>
        </w:rPr>
      </w:pPr>
    </w:p>
    <w:p w14:paraId="60A9A2C5" w14:textId="083A98EE" w:rsidR="00A379A7" w:rsidRPr="00E42F9C" w:rsidRDefault="00533599" w:rsidP="002005F6">
      <w:pPr>
        <w:pStyle w:val="ListParagraph"/>
        <w:numPr>
          <w:ilvl w:val="1"/>
          <w:numId w:val="2"/>
        </w:numPr>
        <w:jc w:val="both"/>
        <w:rPr>
          <w:rFonts w:eastAsia="Calibri"/>
          <w:bCs/>
          <w:noProof/>
          <w:lang w:eastAsia="et-EE"/>
        </w:rPr>
      </w:pPr>
      <w:r>
        <w:rPr>
          <w:rFonts w:eastAsia="Calibri"/>
          <w:bCs/>
          <w:noProof/>
          <w:lang w:eastAsia="et-EE"/>
        </w:rPr>
        <w:t xml:space="preserve"> </w:t>
      </w:r>
      <w:r w:rsidR="00A379A7" w:rsidRPr="00E42F9C">
        <w:rPr>
          <w:rFonts w:eastAsia="Calibri"/>
          <w:bCs/>
          <w:noProof/>
          <w:lang w:eastAsia="et-EE"/>
        </w:rPr>
        <w:t>Järeldused</w:t>
      </w:r>
    </w:p>
    <w:p w14:paraId="477124E3" w14:textId="77777777" w:rsidR="000B012A" w:rsidRPr="000B012A" w:rsidRDefault="000B012A" w:rsidP="000B012A">
      <w:pPr>
        <w:pStyle w:val="ListParagraph"/>
        <w:rPr>
          <w:rFonts w:eastAsia="Calibri"/>
          <w:bCs/>
          <w:noProof/>
          <w:lang w:eastAsia="et-EE"/>
        </w:rPr>
      </w:pPr>
    </w:p>
    <w:p w14:paraId="032472A2" w14:textId="77777777" w:rsidR="000B012A" w:rsidRPr="000B012A" w:rsidRDefault="000B012A" w:rsidP="000B012A">
      <w:pPr>
        <w:autoSpaceDN w:val="0"/>
        <w:jc w:val="both"/>
        <w:textAlignment w:val="baseline"/>
        <w:rPr>
          <w:sz w:val="23"/>
          <w:szCs w:val="23"/>
        </w:rPr>
      </w:pPr>
      <w:r w:rsidRPr="000B012A">
        <w:rPr>
          <w:sz w:val="23"/>
          <w:szCs w:val="23"/>
        </w:rPr>
        <w:t>Statsionaarse hospiitsravi teenust (2068) oli rakendatud vastavalt tervishoiuteenuste loetelu tingimustele.</w:t>
      </w:r>
    </w:p>
    <w:p w14:paraId="54474F0F" w14:textId="63B2DACC" w:rsidR="0011207D" w:rsidRPr="0011207D" w:rsidRDefault="0011207D" w:rsidP="0011207D">
      <w:pPr>
        <w:jc w:val="both"/>
        <w:rPr>
          <w:rFonts w:eastAsia="Calibri"/>
          <w:bCs/>
          <w:noProof/>
          <w:lang w:eastAsia="et-EE"/>
        </w:rPr>
      </w:pPr>
    </w:p>
    <w:p w14:paraId="66D6494A" w14:textId="2DD4E035" w:rsidR="00A379A7" w:rsidRPr="00E42F9C" w:rsidRDefault="00DE71A1" w:rsidP="005A7384">
      <w:pPr>
        <w:pStyle w:val="ListParagraph"/>
        <w:numPr>
          <w:ilvl w:val="1"/>
          <w:numId w:val="2"/>
        </w:numPr>
        <w:suppressAutoHyphens w:val="0"/>
        <w:spacing w:after="120"/>
        <w:jc w:val="both"/>
        <w:rPr>
          <w:rFonts w:eastAsia="Calibri"/>
          <w:noProof/>
          <w:lang w:eastAsia="et-EE"/>
        </w:rPr>
      </w:pPr>
      <w:r>
        <w:rPr>
          <w:rFonts w:eastAsia="Calibri"/>
          <w:noProof/>
          <w:lang w:eastAsia="et-EE"/>
        </w:rPr>
        <w:t xml:space="preserve"> </w:t>
      </w:r>
      <w:r w:rsidR="00A379A7" w:rsidRPr="00E42F9C">
        <w:rPr>
          <w:rFonts w:eastAsia="Calibri"/>
          <w:noProof/>
          <w:lang w:eastAsia="et-EE"/>
        </w:rPr>
        <w:t>Ettepanekud ja vajadusel jätkutegevused teemaga seoses</w:t>
      </w:r>
    </w:p>
    <w:p w14:paraId="5D2A4D9B" w14:textId="0BDAF49C" w:rsidR="003322C4" w:rsidRPr="000262D4" w:rsidRDefault="0011207D" w:rsidP="00CA6999">
      <w:pPr>
        <w:suppressAutoHyphens w:val="0"/>
        <w:spacing w:after="120"/>
        <w:jc w:val="both"/>
        <w:rPr>
          <w:rFonts w:eastAsia="Calibri"/>
          <w:noProof/>
          <w:lang w:eastAsia="et-EE"/>
        </w:rPr>
      </w:pPr>
      <w:r>
        <w:rPr>
          <w:rFonts w:eastAsia="Calibri"/>
          <w:noProof/>
          <w:lang w:eastAsia="et-EE"/>
        </w:rPr>
        <w:t xml:space="preserve">Ettepanekuid ei ole. </w:t>
      </w:r>
      <w:r w:rsidR="000262D4" w:rsidRPr="000262D4">
        <w:rPr>
          <w:rFonts w:eastAsia="Calibri"/>
          <w:noProof/>
          <w:lang w:eastAsia="et-EE"/>
        </w:rPr>
        <w:t>A</w:t>
      </w:r>
      <w:r w:rsidR="00CA6999" w:rsidRPr="000262D4">
        <w:rPr>
          <w:rFonts w:eastAsia="Calibri"/>
          <w:noProof/>
          <w:lang w:eastAsia="et-EE"/>
        </w:rPr>
        <w:t>ntud teemaga seoses jätkutegevusi ei ole</w:t>
      </w:r>
      <w:r w:rsidR="000262D4" w:rsidRPr="000262D4">
        <w:rPr>
          <w:rFonts w:eastAsia="Calibri"/>
          <w:noProof/>
          <w:lang w:eastAsia="et-EE"/>
        </w:rPr>
        <w:t xml:space="preserve"> vaja teostada.</w:t>
      </w:r>
    </w:p>
    <w:p w14:paraId="278B4D17" w14:textId="261926B3" w:rsidR="003322C4" w:rsidRPr="0048340F" w:rsidRDefault="003322C4" w:rsidP="005A7384">
      <w:pPr>
        <w:suppressAutoHyphens w:val="0"/>
        <w:spacing w:after="120"/>
        <w:ind w:left="284"/>
        <w:jc w:val="both"/>
        <w:rPr>
          <w:rFonts w:eastAsia="Calibri"/>
          <w:bCs/>
          <w:noProof/>
          <w:lang w:eastAsia="et-EE"/>
        </w:rPr>
      </w:pPr>
      <w:r>
        <w:rPr>
          <w:rFonts w:eastAsia="Calibri"/>
          <w:noProof/>
          <w:lang w:eastAsia="et-EE"/>
        </w:rPr>
        <w:t xml:space="preserve"> </w:t>
      </w:r>
    </w:p>
    <w:p w14:paraId="6B511859" w14:textId="51FD90FA" w:rsidR="00A379A7" w:rsidRPr="00EF2B67" w:rsidRDefault="00A379A7" w:rsidP="005A7384">
      <w:pPr>
        <w:suppressAutoHyphens w:val="0"/>
        <w:jc w:val="both"/>
        <w:rPr>
          <w:rFonts w:eastAsia="Calibri"/>
          <w:lang w:eastAsia="et-EE"/>
        </w:rPr>
      </w:pPr>
      <w:r w:rsidRPr="00EF2B67">
        <w:rPr>
          <w:rFonts w:eastAsia="Calibri"/>
          <w:lang w:eastAsia="et-EE"/>
        </w:rPr>
        <w:t>Koostas:</w:t>
      </w:r>
      <w:r w:rsidR="00060B7E">
        <w:rPr>
          <w:rFonts w:eastAsia="Calibri"/>
          <w:lang w:eastAsia="et-EE"/>
        </w:rPr>
        <w:t xml:space="preserve"> </w:t>
      </w:r>
      <w:r w:rsidR="00B96D9A">
        <w:rPr>
          <w:rFonts w:eastAsia="Calibri"/>
          <w:lang w:eastAsia="et-EE"/>
        </w:rPr>
        <w:t>Eliisa Soome</w:t>
      </w:r>
    </w:p>
    <w:sectPr w:rsidR="00A379A7" w:rsidRPr="00EF2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FB5"/>
    <w:multiLevelType w:val="multilevel"/>
    <w:tmpl w:val="6B064F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603275"/>
    <w:multiLevelType w:val="hybridMultilevel"/>
    <w:tmpl w:val="9614E6AA"/>
    <w:lvl w:ilvl="0" w:tplc="EAA437CA">
      <w:start w:val="7"/>
      <w:numFmt w:val="bullet"/>
      <w:lvlText w:val="-"/>
      <w:lvlJc w:val="left"/>
      <w:pPr>
        <w:ind w:left="417" w:hanging="360"/>
      </w:pPr>
      <w:rPr>
        <w:rFonts w:ascii="Times New Roman" w:eastAsia="Calibri" w:hAnsi="Times New Roman" w:cs="Times New Roman" w:hint="default"/>
      </w:rPr>
    </w:lvl>
    <w:lvl w:ilvl="1" w:tplc="04250003" w:tentative="1">
      <w:start w:val="1"/>
      <w:numFmt w:val="bullet"/>
      <w:lvlText w:val="o"/>
      <w:lvlJc w:val="left"/>
      <w:pPr>
        <w:ind w:left="1137" w:hanging="360"/>
      </w:pPr>
      <w:rPr>
        <w:rFonts w:ascii="Courier New" w:hAnsi="Courier New" w:cs="Courier New" w:hint="default"/>
      </w:rPr>
    </w:lvl>
    <w:lvl w:ilvl="2" w:tplc="04250005" w:tentative="1">
      <w:start w:val="1"/>
      <w:numFmt w:val="bullet"/>
      <w:lvlText w:val=""/>
      <w:lvlJc w:val="left"/>
      <w:pPr>
        <w:ind w:left="1857" w:hanging="360"/>
      </w:pPr>
      <w:rPr>
        <w:rFonts w:ascii="Wingdings" w:hAnsi="Wingdings" w:hint="default"/>
      </w:rPr>
    </w:lvl>
    <w:lvl w:ilvl="3" w:tplc="04250001" w:tentative="1">
      <w:start w:val="1"/>
      <w:numFmt w:val="bullet"/>
      <w:lvlText w:val=""/>
      <w:lvlJc w:val="left"/>
      <w:pPr>
        <w:ind w:left="2577" w:hanging="360"/>
      </w:pPr>
      <w:rPr>
        <w:rFonts w:ascii="Symbol" w:hAnsi="Symbol" w:hint="default"/>
      </w:rPr>
    </w:lvl>
    <w:lvl w:ilvl="4" w:tplc="04250003" w:tentative="1">
      <w:start w:val="1"/>
      <w:numFmt w:val="bullet"/>
      <w:lvlText w:val="o"/>
      <w:lvlJc w:val="left"/>
      <w:pPr>
        <w:ind w:left="3297" w:hanging="360"/>
      </w:pPr>
      <w:rPr>
        <w:rFonts w:ascii="Courier New" w:hAnsi="Courier New" w:cs="Courier New" w:hint="default"/>
      </w:rPr>
    </w:lvl>
    <w:lvl w:ilvl="5" w:tplc="04250005" w:tentative="1">
      <w:start w:val="1"/>
      <w:numFmt w:val="bullet"/>
      <w:lvlText w:val=""/>
      <w:lvlJc w:val="left"/>
      <w:pPr>
        <w:ind w:left="4017" w:hanging="360"/>
      </w:pPr>
      <w:rPr>
        <w:rFonts w:ascii="Wingdings" w:hAnsi="Wingdings" w:hint="default"/>
      </w:rPr>
    </w:lvl>
    <w:lvl w:ilvl="6" w:tplc="04250001" w:tentative="1">
      <w:start w:val="1"/>
      <w:numFmt w:val="bullet"/>
      <w:lvlText w:val=""/>
      <w:lvlJc w:val="left"/>
      <w:pPr>
        <w:ind w:left="4737" w:hanging="360"/>
      </w:pPr>
      <w:rPr>
        <w:rFonts w:ascii="Symbol" w:hAnsi="Symbol" w:hint="default"/>
      </w:rPr>
    </w:lvl>
    <w:lvl w:ilvl="7" w:tplc="04250003" w:tentative="1">
      <w:start w:val="1"/>
      <w:numFmt w:val="bullet"/>
      <w:lvlText w:val="o"/>
      <w:lvlJc w:val="left"/>
      <w:pPr>
        <w:ind w:left="5457" w:hanging="360"/>
      </w:pPr>
      <w:rPr>
        <w:rFonts w:ascii="Courier New" w:hAnsi="Courier New" w:cs="Courier New" w:hint="default"/>
      </w:rPr>
    </w:lvl>
    <w:lvl w:ilvl="8" w:tplc="04250005" w:tentative="1">
      <w:start w:val="1"/>
      <w:numFmt w:val="bullet"/>
      <w:lvlText w:val=""/>
      <w:lvlJc w:val="left"/>
      <w:pPr>
        <w:ind w:left="6177" w:hanging="360"/>
      </w:pPr>
      <w:rPr>
        <w:rFonts w:ascii="Wingdings" w:hAnsi="Wingdings" w:hint="default"/>
      </w:rPr>
    </w:lvl>
  </w:abstractNum>
  <w:abstractNum w:abstractNumId="2" w15:restartNumberingAfterBreak="0">
    <w:nsid w:val="1EAB2E87"/>
    <w:multiLevelType w:val="hybridMultilevel"/>
    <w:tmpl w:val="6B46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15E76"/>
    <w:multiLevelType w:val="multilevel"/>
    <w:tmpl w:val="A9606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BC2E70"/>
    <w:multiLevelType w:val="hybridMultilevel"/>
    <w:tmpl w:val="80083E0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C4E64B9"/>
    <w:multiLevelType w:val="multilevel"/>
    <w:tmpl w:val="D42659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93D0A53"/>
    <w:multiLevelType w:val="multilevel"/>
    <w:tmpl w:val="78782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F86D58"/>
    <w:multiLevelType w:val="hybridMultilevel"/>
    <w:tmpl w:val="C890C916"/>
    <w:lvl w:ilvl="0" w:tplc="83EEAE7E">
      <w:start w:val="7"/>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EBE4EA6"/>
    <w:multiLevelType w:val="hybridMultilevel"/>
    <w:tmpl w:val="532C357C"/>
    <w:lvl w:ilvl="0" w:tplc="8830FD1A">
      <w:start w:val="7"/>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12F433D"/>
    <w:multiLevelType w:val="hybridMultilevel"/>
    <w:tmpl w:val="7270C5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1AE5685"/>
    <w:multiLevelType w:val="hybridMultilevel"/>
    <w:tmpl w:val="9D7E96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9D43FE0"/>
    <w:multiLevelType w:val="hybridMultilevel"/>
    <w:tmpl w:val="469054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27E22F4"/>
    <w:multiLevelType w:val="hybridMultilevel"/>
    <w:tmpl w:val="65C21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5992F1B"/>
    <w:multiLevelType w:val="hybridMultilevel"/>
    <w:tmpl w:val="C372A176"/>
    <w:lvl w:ilvl="0" w:tplc="BC660ED8">
      <w:start w:val="55"/>
      <w:numFmt w:val="bullet"/>
      <w:lvlText w:val="-"/>
      <w:lvlJc w:val="left"/>
      <w:pPr>
        <w:ind w:left="643"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95B7CD8"/>
    <w:multiLevelType w:val="hybridMultilevel"/>
    <w:tmpl w:val="5FAA5E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4"/>
  </w:num>
  <w:num w:numId="5">
    <w:abstractNumId w:val="13"/>
  </w:num>
  <w:num w:numId="6">
    <w:abstractNumId w:val="11"/>
  </w:num>
  <w:num w:numId="7">
    <w:abstractNumId w:val="12"/>
  </w:num>
  <w:num w:numId="8">
    <w:abstractNumId w:val="10"/>
  </w:num>
  <w:num w:numId="9">
    <w:abstractNumId w:val="1"/>
  </w:num>
  <w:num w:numId="10">
    <w:abstractNumId w:val="7"/>
  </w:num>
  <w:num w:numId="11">
    <w:abstractNumId w:val="8"/>
  </w:num>
  <w:num w:numId="12">
    <w:abstractNumId w:val="5"/>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7"/>
    <w:rsid w:val="00004EE4"/>
    <w:rsid w:val="00006275"/>
    <w:rsid w:val="000262D4"/>
    <w:rsid w:val="00053948"/>
    <w:rsid w:val="00060B7E"/>
    <w:rsid w:val="00087924"/>
    <w:rsid w:val="000A38C8"/>
    <w:rsid w:val="000B012A"/>
    <w:rsid w:val="000B5537"/>
    <w:rsid w:val="000C734B"/>
    <w:rsid w:val="000D4AD1"/>
    <w:rsid w:val="000E6BD1"/>
    <w:rsid w:val="000F25BA"/>
    <w:rsid w:val="000F3629"/>
    <w:rsid w:val="0011207D"/>
    <w:rsid w:val="001148E3"/>
    <w:rsid w:val="00117643"/>
    <w:rsid w:val="00124225"/>
    <w:rsid w:val="00133630"/>
    <w:rsid w:val="00175F1B"/>
    <w:rsid w:val="001850C1"/>
    <w:rsid w:val="00187ECB"/>
    <w:rsid w:val="001B4A71"/>
    <w:rsid w:val="001E4DE9"/>
    <w:rsid w:val="001F120E"/>
    <w:rsid w:val="001F5CB6"/>
    <w:rsid w:val="002005F6"/>
    <w:rsid w:val="00200A25"/>
    <w:rsid w:val="002247D3"/>
    <w:rsid w:val="0024065C"/>
    <w:rsid w:val="00266EAA"/>
    <w:rsid w:val="002901EF"/>
    <w:rsid w:val="002A0F56"/>
    <w:rsid w:val="003260B4"/>
    <w:rsid w:val="003322C4"/>
    <w:rsid w:val="00334F9D"/>
    <w:rsid w:val="003530B0"/>
    <w:rsid w:val="003800D4"/>
    <w:rsid w:val="003876B1"/>
    <w:rsid w:val="003922CC"/>
    <w:rsid w:val="00393CAF"/>
    <w:rsid w:val="003A6C62"/>
    <w:rsid w:val="003B4FCA"/>
    <w:rsid w:val="003F134F"/>
    <w:rsid w:val="004139E7"/>
    <w:rsid w:val="00454066"/>
    <w:rsid w:val="00457902"/>
    <w:rsid w:val="004604C7"/>
    <w:rsid w:val="00465511"/>
    <w:rsid w:val="004A06D4"/>
    <w:rsid w:val="004A3E96"/>
    <w:rsid w:val="004C0303"/>
    <w:rsid w:val="004C3B84"/>
    <w:rsid w:val="004F2EB8"/>
    <w:rsid w:val="00502ADC"/>
    <w:rsid w:val="0051509F"/>
    <w:rsid w:val="00533599"/>
    <w:rsid w:val="005523D9"/>
    <w:rsid w:val="00561F6E"/>
    <w:rsid w:val="005671AE"/>
    <w:rsid w:val="00576DDA"/>
    <w:rsid w:val="0058055E"/>
    <w:rsid w:val="00590A89"/>
    <w:rsid w:val="005A7384"/>
    <w:rsid w:val="005D434F"/>
    <w:rsid w:val="005F2B89"/>
    <w:rsid w:val="00675CA3"/>
    <w:rsid w:val="006B607A"/>
    <w:rsid w:val="006C7C83"/>
    <w:rsid w:val="006E2F65"/>
    <w:rsid w:val="007131B1"/>
    <w:rsid w:val="00730614"/>
    <w:rsid w:val="00751FB9"/>
    <w:rsid w:val="00786E76"/>
    <w:rsid w:val="007915D2"/>
    <w:rsid w:val="007A05A8"/>
    <w:rsid w:val="007A3A71"/>
    <w:rsid w:val="007E2DBE"/>
    <w:rsid w:val="007E75BB"/>
    <w:rsid w:val="00823A7B"/>
    <w:rsid w:val="00825261"/>
    <w:rsid w:val="00865DED"/>
    <w:rsid w:val="00873ECA"/>
    <w:rsid w:val="008A3FB9"/>
    <w:rsid w:val="008A4DF8"/>
    <w:rsid w:val="008D2878"/>
    <w:rsid w:val="008D617C"/>
    <w:rsid w:val="00902E01"/>
    <w:rsid w:val="009075D8"/>
    <w:rsid w:val="00916256"/>
    <w:rsid w:val="00923B8C"/>
    <w:rsid w:val="00927558"/>
    <w:rsid w:val="009529F7"/>
    <w:rsid w:val="009638D6"/>
    <w:rsid w:val="009A0B9F"/>
    <w:rsid w:val="009B2C26"/>
    <w:rsid w:val="009D0FCF"/>
    <w:rsid w:val="009E136B"/>
    <w:rsid w:val="00A20412"/>
    <w:rsid w:val="00A379A7"/>
    <w:rsid w:val="00A44688"/>
    <w:rsid w:val="00A45D1B"/>
    <w:rsid w:val="00A807BC"/>
    <w:rsid w:val="00A90A5C"/>
    <w:rsid w:val="00AB154B"/>
    <w:rsid w:val="00AB5AFF"/>
    <w:rsid w:val="00AD27AA"/>
    <w:rsid w:val="00B029A0"/>
    <w:rsid w:val="00B05A2F"/>
    <w:rsid w:val="00B07572"/>
    <w:rsid w:val="00B86AC6"/>
    <w:rsid w:val="00B87179"/>
    <w:rsid w:val="00B96D9A"/>
    <w:rsid w:val="00BD244B"/>
    <w:rsid w:val="00BF3BE1"/>
    <w:rsid w:val="00BF7768"/>
    <w:rsid w:val="00C02391"/>
    <w:rsid w:val="00C1171B"/>
    <w:rsid w:val="00C1379F"/>
    <w:rsid w:val="00C22676"/>
    <w:rsid w:val="00C24E55"/>
    <w:rsid w:val="00C26998"/>
    <w:rsid w:val="00C34FD3"/>
    <w:rsid w:val="00C50947"/>
    <w:rsid w:val="00C82554"/>
    <w:rsid w:val="00CA6999"/>
    <w:rsid w:val="00CC59E2"/>
    <w:rsid w:val="00CE7240"/>
    <w:rsid w:val="00D57C74"/>
    <w:rsid w:val="00D74B0B"/>
    <w:rsid w:val="00D85D8E"/>
    <w:rsid w:val="00DB0AE4"/>
    <w:rsid w:val="00DD0590"/>
    <w:rsid w:val="00DE3104"/>
    <w:rsid w:val="00DE71A1"/>
    <w:rsid w:val="00E02BE6"/>
    <w:rsid w:val="00E27CDA"/>
    <w:rsid w:val="00E42F9C"/>
    <w:rsid w:val="00E61853"/>
    <w:rsid w:val="00E66F8C"/>
    <w:rsid w:val="00E702E0"/>
    <w:rsid w:val="00E83B89"/>
    <w:rsid w:val="00EB4562"/>
    <w:rsid w:val="00EE1BE3"/>
    <w:rsid w:val="00EE1BEB"/>
    <w:rsid w:val="00F0561A"/>
    <w:rsid w:val="00F068FF"/>
    <w:rsid w:val="00F45D44"/>
    <w:rsid w:val="00F45E18"/>
    <w:rsid w:val="00F813B4"/>
    <w:rsid w:val="00F92BFC"/>
    <w:rsid w:val="00FB2AC8"/>
    <w:rsid w:val="00FB2E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E274"/>
  <w15:chartTrackingRefBased/>
  <w15:docId w15:val="{87311F9B-AEEE-491E-8C3C-96BD518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A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2E9E"/>
    <w:pPr>
      <w:ind w:left="720"/>
      <w:contextualSpacing/>
    </w:pPr>
  </w:style>
  <w:style w:type="character" w:styleId="CommentReference">
    <w:name w:val="annotation reference"/>
    <w:basedOn w:val="DefaultParagraphFont"/>
    <w:uiPriority w:val="99"/>
    <w:semiHidden/>
    <w:unhideWhenUsed/>
    <w:rsid w:val="00DE3104"/>
    <w:rPr>
      <w:sz w:val="16"/>
      <w:szCs w:val="16"/>
    </w:rPr>
  </w:style>
  <w:style w:type="paragraph" w:styleId="CommentText">
    <w:name w:val="annotation text"/>
    <w:basedOn w:val="Normal"/>
    <w:link w:val="CommentTextChar"/>
    <w:uiPriority w:val="99"/>
    <w:semiHidden/>
    <w:unhideWhenUsed/>
    <w:rsid w:val="00DE3104"/>
    <w:rPr>
      <w:sz w:val="20"/>
      <w:szCs w:val="20"/>
    </w:rPr>
  </w:style>
  <w:style w:type="character" w:customStyle="1" w:styleId="CommentTextChar">
    <w:name w:val="Comment Text Char"/>
    <w:basedOn w:val="DefaultParagraphFont"/>
    <w:link w:val="CommentText"/>
    <w:uiPriority w:val="99"/>
    <w:semiHidden/>
    <w:rsid w:val="00DE310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E3104"/>
    <w:rPr>
      <w:b/>
      <w:bCs/>
    </w:rPr>
  </w:style>
  <w:style w:type="character" w:customStyle="1" w:styleId="CommentSubjectChar">
    <w:name w:val="Comment Subject Char"/>
    <w:basedOn w:val="CommentTextChar"/>
    <w:link w:val="CommentSubject"/>
    <w:uiPriority w:val="99"/>
    <w:semiHidden/>
    <w:rsid w:val="00DE3104"/>
    <w:rPr>
      <w:rFonts w:ascii="Times New Roman" w:eastAsia="Times New Roman" w:hAnsi="Times New Roman" w:cs="Times New Roman"/>
      <w:b/>
      <w:bCs/>
      <w:sz w:val="20"/>
      <w:szCs w:val="20"/>
      <w:lang w:eastAsia="ar-SA"/>
    </w:rPr>
  </w:style>
  <w:style w:type="paragraph" w:styleId="Revision">
    <w:name w:val="Revision"/>
    <w:hidden/>
    <w:uiPriority w:val="99"/>
    <w:semiHidden/>
    <w:rsid w:val="00DE3104"/>
    <w:pPr>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E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04"/>
    <w:rPr>
      <w:rFonts w:ascii="Segoe UI" w:eastAsia="Times New Roman" w:hAnsi="Segoe UI" w:cs="Segoe UI"/>
      <w:sz w:val="18"/>
      <w:szCs w:val="18"/>
      <w:lang w:eastAsia="ar-SA"/>
    </w:rPr>
  </w:style>
  <w:style w:type="paragraph" w:styleId="NoSpacing">
    <w:name w:val="No Spacing"/>
    <w:uiPriority w:val="1"/>
    <w:qFormat/>
    <w:rsid w:val="00C1379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0016">
      <w:bodyDiv w:val="1"/>
      <w:marLeft w:val="0"/>
      <w:marRight w:val="0"/>
      <w:marTop w:val="0"/>
      <w:marBottom w:val="0"/>
      <w:divBdr>
        <w:top w:val="none" w:sz="0" w:space="0" w:color="auto"/>
        <w:left w:val="none" w:sz="0" w:space="0" w:color="auto"/>
        <w:bottom w:val="none" w:sz="0" w:space="0" w:color="auto"/>
        <w:right w:val="none" w:sz="0" w:space="0" w:color="auto"/>
      </w:divBdr>
    </w:div>
    <w:div w:id="20001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877</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Paal</dc:creator>
  <cp:keywords/>
  <dc:description/>
  <cp:lastModifiedBy>Eliisa Soome</cp:lastModifiedBy>
  <cp:revision>51</cp:revision>
  <dcterms:created xsi:type="dcterms:W3CDTF">2021-04-29T08:18:00Z</dcterms:created>
  <dcterms:modified xsi:type="dcterms:W3CDTF">2021-05-05T07:40:00Z</dcterms:modified>
</cp:coreProperties>
</file>