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3DB6" w14:textId="6E7AC5E7" w:rsidR="00FB47F3" w:rsidRPr="00652AF2" w:rsidRDefault="00FB47F3" w:rsidP="00FB47F3">
      <w:pPr>
        <w:spacing w:line="360" w:lineRule="auto"/>
        <w:jc w:val="both"/>
        <w:rPr>
          <w:rFonts w:ascii="Times New Roman" w:hAnsi="Times New Roman" w:cs="Times New Roman"/>
          <w:b/>
          <w:sz w:val="24"/>
          <w:szCs w:val="24"/>
        </w:rPr>
      </w:pPr>
    </w:p>
    <w:p w14:paraId="77073423" w14:textId="6A68216B" w:rsidR="00FB47F3" w:rsidRPr="00671F41" w:rsidRDefault="00FB47F3" w:rsidP="00FB47F3">
      <w:pPr>
        <w:spacing w:line="360" w:lineRule="auto"/>
        <w:jc w:val="both"/>
        <w:rPr>
          <w:rFonts w:ascii="Times New Roman" w:hAnsi="Times New Roman" w:cs="Times New Roman"/>
          <w:b/>
          <w:sz w:val="24"/>
          <w:szCs w:val="24"/>
        </w:rPr>
      </w:pPr>
    </w:p>
    <w:p w14:paraId="37D6E5B5" w14:textId="4A371071" w:rsidR="00FB47F3" w:rsidRPr="00671F41" w:rsidRDefault="00FB47F3" w:rsidP="00FB47F3">
      <w:pPr>
        <w:spacing w:line="360" w:lineRule="auto"/>
        <w:jc w:val="both"/>
        <w:rPr>
          <w:rFonts w:ascii="Times New Roman" w:hAnsi="Times New Roman" w:cs="Times New Roman"/>
          <w:b/>
          <w:sz w:val="24"/>
          <w:szCs w:val="24"/>
        </w:rPr>
      </w:pPr>
    </w:p>
    <w:p w14:paraId="3D7EA807" w14:textId="3F00DA60" w:rsidR="00FB47F3" w:rsidRPr="00671F41" w:rsidRDefault="00FB47F3" w:rsidP="00FB47F3">
      <w:pPr>
        <w:spacing w:line="360" w:lineRule="auto"/>
        <w:jc w:val="both"/>
        <w:rPr>
          <w:rFonts w:ascii="Times New Roman" w:hAnsi="Times New Roman" w:cs="Times New Roman"/>
          <w:b/>
          <w:sz w:val="24"/>
          <w:szCs w:val="24"/>
        </w:rPr>
      </w:pPr>
    </w:p>
    <w:p w14:paraId="1EC679CE" w14:textId="77777777" w:rsidR="00FB47F3" w:rsidRPr="00671F41" w:rsidRDefault="00FB47F3" w:rsidP="00FB47F3">
      <w:pPr>
        <w:spacing w:line="360" w:lineRule="auto"/>
        <w:jc w:val="both"/>
        <w:rPr>
          <w:rFonts w:ascii="Times New Roman" w:hAnsi="Times New Roman" w:cs="Times New Roman"/>
          <w:b/>
          <w:sz w:val="24"/>
          <w:szCs w:val="24"/>
        </w:rPr>
      </w:pPr>
    </w:p>
    <w:p w14:paraId="0E7269EE" w14:textId="11C53134" w:rsidR="00FB47F3" w:rsidRPr="0077218F" w:rsidRDefault="00FB47F3" w:rsidP="00FB47F3">
      <w:pPr>
        <w:spacing w:line="360" w:lineRule="auto"/>
        <w:jc w:val="center"/>
        <w:rPr>
          <w:rFonts w:ascii="Times New Roman" w:hAnsi="Times New Roman" w:cs="Times New Roman"/>
          <w:b/>
          <w:sz w:val="24"/>
          <w:szCs w:val="24"/>
        </w:rPr>
      </w:pPr>
      <w:r w:rsidRPr="00671F41">
        <w:rPr>
          <w:rFonts w:ascii="Times New Roman" w:hAnsi="Times New Roman" w:cs="Times New Roman"/>
          <w:b/>
          <w:sz w:val="24"/>
          <w:szCs w:val="24"/>
        </w:rPr>
        <w:t>Sihtvalik</w:t>
      </w:r>
      <w:r w:rsidR="00706446" w:rsidRPr="0077218F">
        <w:rPr>
          <w:rFonts w:ascii="Times New Roman" w:hAnsi="Times New Roman" w:cs="Times New Roman"/>
          <w:b/>
          <w:sz w:val="24"/>
          <w:szCs w:val="24"/>
        </w:rPr>
        <w:t>u</w:t>
      </w:r>
    </w:p>
    <w:p w14:paraId="4E3DB621" w14:textId="23FFF07B" w:rsidR="00FB47F3" w:rsidRPr="00652AF2" w:rsidRDefault="00FB47F3" w:rsidP="00FB47F3">
      <w:pPr>
        <w:spacing w:line="360" w:lineRule="auto"/>
        <w:jc w:val="center"/>
        <w:rPr>
          <w:rFonts w:ascii="Times New Roman" w:hAnsi="Times New Roman" w:cs="Times New Roman"/>
          <w:b/>
          <w:sz w:val="24"/>
          <w:szCs w:val="24"/>
        </w:rPr>
      </w:pPr>
      <w:r w:rsidRPr="00652AF2">
        <w:rPr>
          <w:rFonts w:ascii="Times New Roman" w:hAnsi="Times New Roman" w:cs="Times New Roman"/>
          <w:b/>
          <w:sz w:val="24"/>
          <w:szCs w:val="24"/>
        </w:rPr>
        <w:t xml:space="preserve">Ravijuhendi </w:t>
      </w:r>
      <w:r w:rsidR="00836AAF" w:rsidRPr="00836AAF">
        <w:rPr>
          <w:rFonts w:ascii="Times New Roman" w:hAnsi="Times New Roman" w:cs="Times New Roman"/>
          <w:b/>
          <w:sz w:val="24"/>
          <w:szCs w:val="24"/>
        </w:rPr>
        <w:t xml:space="preserve">„Bariaatrilise patsiendi käsitlus enne ja pärast kirurgilist sekkumist (RJ-E/12.1-2016)“ </w:t>
      </w:r>
      <w:r w:rsidRPr="00652AF2">
        <w:rPr>
          <w:rFonts w:ascii="Times New Roman" w:hAnsi="Times New Roman" w:cs="Times New Roman"/>
          <w:b/>
          <w:sz w:val="24"/>
          <w:szCs w:val="24"/>
        </w:rPr>
        <w:t>soovituste rakendamise hindamine</w:t>
      </w:r>
    </w:p>
    <w:p w14:paraId="3080E99B" w14:textId="33909297" w:rsidR="00FB47F3" w:rsidRPr="00652AF2" w:rsidRDefault="00DE2F95" w:rsidP="00FB47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TEEMA </w:t>
      </w:r>
      <w:r w:rsidR="00FB47F3" w:rsidRPr="00652AF2">
        <w:rPr>
          <w:rFonts w:ascii="Times New Roman" w:hAnsi="Times New Roman" w:cs="Times New Roman"/>
          <w:b/>
          <w:sz w:val="24"/>
          <w:szCs w:val="24"/>
        </w:rPr>
        <w:t>KOKKUVÕTE</w:t>
      </w:r>
    </w:p>
    <w:p w14:paraId="5C8E9C13" w14:textId="77777777" w:rsidR="00FB47F3" w:rsidRPr="00652AF2" w:rsidRDefault="00FB47F3" w:rsidP="00FB47F3">
      <w:pPr>
        <w:spacing w:line="360" w:lineRule="auto"/>
        <w:jc w:val="center"/>
        <w:rPr>
          <w:rFonts w:ascii="Times New Roman" w:hAnsi="Times New Roman" w:cs="Times New Roman"/>
          <w:sz w:val="24"/>
          <w:szCs w:val="24"/>
        </w:rPr>
      </w:pPr>
    </w:p>
    <w:p w14:paraId="66066AA7" w14:textId="66021F5A" w:rsidR="00FB47F3" w:rsidRPr="00652AF2" w:rsidRDefault="00FB47F3" w:rsidP="00FB47F3">
      <w:pPr>
        <w:spacing w:line="360" w:lineRule="auto"/>
        <w:jc w:val="center"/>
        <w:rPr>
          <w:rFonts w:ascii="Times New Roman" w:hAnsi="Times New Roman" w:cs="Times New Roman"/>
          <w:sz w:val="24"/>
          <w:szCs w:val="24"/>
        </w:rPr>
      </w:pPr>
      <w:r w:rsidRPr="00652AF2">
        <w:rPr>
          <w:rFonts w:ascii="Times New Roman" w:hAnsi="Times New Roman" w:cs="Times New Roman"/>
          <w:sz w:val="24"/>
          <w:szCs w:val="24"/>
        </w:rPr>
        <w:t>Eesti Haigekassa 202</w:t>
      </w:r>
      <w:r w:rsidR="00836AAF">
        <w:rPr>
          <w:rFonts w:ascii="Times New Roman" w:hAnsi="Times New Roman" w:cs="Times New Roman"/>
          <w:sz w:val="24"/>
          <w:szCs w:val="24"/>
        </w:rPr>
        <w:t>1</w:t>
      </w:r>
    </w:p>
    <w:p w14:paraId="1F367C23" w14:textId="77777777" w:rsidR="00FB47F3" w:rsidRPr="00652AF2" w:rsidRDefault="00FB47F3" w:rsidP="00FB47F3">
      <w:pPr>
        <w:spacing w:line="360" w:lineRule="auto"/>
        <w:jc w:val="both"/>
        <w:rPr>
          <w:rFonts w:ascii="Times New Roman" w:hAnsi="Times New Roman" w:cs="Times New Roman"/>
          <w:sz w:val="24"/>
          <w:szCs w:val="24"/>
        </w:rPr>
      </w:pPr>
    </w:p>
    <w:p w14:paraId="0844FAAC" w14:textId="77777777" w:rsidR="00FB47F3" w:rsidRPr="00652AF2" w:rsidRDefault="00FB47F3" w:rsidP="00FB47F3">
      <w:pPr>
        <w:spacing w:line="360" w:lineRule="auto"/>
        <w:jc w:val="both"/>
        <w:rPr>
          <w:rFonts w:ascii="Times New Roman" w:hAnsi="Times New Roman" w:cs="Times New Roman"/>
          <w:sz w:val="24"/>
          <w:szCs w:val="24"/>
        </w:rPr>
      </w:pPr>
    </w:p>
    <w:p w14:paraId="1EA19C09" w14:textId="3F3BA103" w:rsidR="00D07F85" w:rsidRPr="00654EF6" w:rsidRDefault="00D07F85">
      <w:pPr>
        <w:rPr>
          <w:rFonts w:ascii="Times New Roman" w:hAnsi="Times New Roman" w:cs="Times New Roman"/>
          <w:sz w:val="24"/>
          <w:szCs w:val="24"/>
        </w:rPr>
      </w:pPr>
    </w:p>
    <w:p w14:paraId="6D9CCD60" w14:textId="337FBB2F" w:rsidR="00FB47F3" w:rsidRPr="00654EF6" w:rsidRDefault="00FB47F3">
      <w:pPr>
        <w:rPr>
          <w:rFonts w:ascii="Times New Roman" w:hAnsi="Times New Roman" w:cs="Times New Roman"/>
          <w:sz w:val="24"/>
          <w:szCs w:val="24"/>
        </w:rPr>
      </w:pPr>
    </w:p>
    <w:p w14:paraId="463CD5B6" w14:textId="26DF8694" w:rsidR="00FB47F3" w:rsidRPr="00654EF6" w:rsidRDefault="00FB47F3">
      <w:pPr>
        <w:rPr>
          <w:rFonts w:ascii="Times New Roman" w:hAnsi="Times New Roman" w:cs="Times New Roman"/>
          <w:sz w:val="24"/>
          <w:szCs w:val="24"/>
        </w:rPr>
      </w:pPr>
    </w:p>
    <w:p w14:paraId="683A9EF9" w14:textId="2BF1B40A" w:rsidR="00FB47F3" w:rsidRPr="00654EF6" w:rsidRDefault="00FB47F3">
      <w:pPr>
        <w:rPr>
          <w:rFonts w:ascii="Times New Roman" w:hAnsi="Times New Roman" w:cs="Times New Roman"/>
          <w:sz w:val="24"/>
          <w:szCs w:val="24"/>
        </w:rPr>
      </w:pPr>
    </w:p>
    <w:p w14:paraId="7294A797" w14:textId="4BEE4264" w:rsidR="00FB47F3" w:rsidRPr="00654EF6" w:rsidRDefault="00FB47F3">
      <w:pPr>
        <w:rPr>
          <w:rFonts w:ascii="Times New Roman" w:hAnsi="Times New Roman" w:cs="Times New Roman"/>
          <w:sz w:val="24"/>
          <w:szCs w:val="24"/>
        </w:rPr>
      </w:pPr>
    </w:p>
    <w:p w14:paraId="0E75DDF5" w14:textId="5AD0BB7F" w:rsidR="00FB47F3" w:rsidRPr="00654EF6" w:rsidRDefault="00FB47F3">
      <w:pPr>
        <w:rPr>
          <w:rFonts w:ascii="Times New Roman" w:hAnsi="Times New Roman" w:cs="Times New Roman"/>
          <w:sz w:val="24"/>
          <w:szCs w:val="24"/>
        </w:rPr>
      </w:pPr>
    </w:p>
    <w:p w14:paraId="14B5D985" w14:textId="1F6689C0" w:rsidR="00FB47F3" w:rsidRPr="00654EF6" w:rsidRDefault="00FB47F3">
      <w:pPr>
        <w:rPr>
          <w:rFonts w:ascii="Times New Roman" w:hAnsi="Times New Roman" w:cs="Times New Roman"/>
          <w:sz w:val="24"/>
          <w:szCs w:val="24"/>
        </w:rPr>
      </w:pPr>
    </w:p>
    <w:p w14:paraId="3BBF5AB3" w14:textId="37075799" w:rsidR="00FB47F3" w:rsidRPr="00654EF6" w:rsidRDefault="00FB47F3">
      <w:pPr>
        <w:rPr>
          <w:rFonts w:ascii="Times New Roman" w:hAnsi="Times New Roman" w:cs="Times New Roman"/>
          <w:sz w:val="24"/>
          <w:szCs w:val="24"/>
        </w:rPr>
      </w:pPr>
    </w:p>
    <w:p w14:paraId="2FB868DE" w14:textId="509BCFC9" w:rsidR="00FB47F3" w:rsidRPr="00654EF6" w:rsidRDefault="00FB47F3">
      <w:pPr>
        <w:rPr>
          <w:rFonts w:ascii="Times New Roman" w:hAnsi="Times New Roman" w:cs="Times New Roman"/>
          <w:sz w:val="24"/>
          <w:szCs w:val="24"/>
        </w:rPr>
      </w:pPr>
    </w:p>
    <w:p w14:paraId="047F2246" w14:textId="1C527926" w:rsidR="00FB47F3" w:rsidRPr="00654EF6" w:rsidRDefault="00FB47F3">
      <w:pPr>
        <w:rPr>
          <w:rFonts w:ascii="Times New Roman" w:hAnsi="Times New Roman" w:cs="Times New Roman"/>
          <w:sz w:val="24"/>
          <w:szCs w:val="24"/>
        </w:rPr>
      </w:pPr>
    </w:p>
    <w:p w14:paraId="22FE769B" w14:textId="1718DCF2" w:rsidR="00FB47F3" w:rsidRPr="00654EF6" w:rsidRDefault="00FB47F3">
      <w:pPr>
        <w:rPr>
          <w:rFonts w:ascii="Times New Roman" w:hAnsi="Times New Roman" w:cs="Times New Roman"/>
          <w:sz w:val="24"/>
          <w:szCs w:val="24"/>
        </w:rPr>
      </w:pPr>
    </w:p>
    <w:p w14:paraId="2FE0F214" w14:textId="63B3ABA6" w:rsidR="00FB47F3" w:rsidRPr="00654EF6" w:rsidRDefault="00FB47F3">
      <w:pPr>
        <w:rPr>
          <w:rFonts w:ascii="Times New Roman" w:hAnsi="Times New Roman" w:cs="Times New Roman"/>
          <w:sz w:val="24"/>
          <w:szCs w:val="24"/>
        </w:rPr>
      </w:pPr>
    </w:p>
    <w:p w14:paraId="7ECCFCF5" w14:textId="1911344C" w:rsidR="00FB47F3" w:rsidRPr="00654EF6" w:rsidRDefault="00FB47F3">
      <w:pPr>
        <w:rPr>
          <w:rFonts w:ascii="Times New Roman" w:hAnsi="Times New Roman" w:cs="Times New Roman"/>
          <w:sz w:val="24"/>
          <w:szCs w:val="24"/>
        </w:rPr>
      </w:pPr>
    </w:p>
    <w:p w14:paraId="441013A9" w14:textId="37CF223F" w:rsidR="00FB47F3" w:rsidRPr="00654EF6" w:rsidRDefault="00FB47F3">
      <w:pPr>
        <w:rPr>
          <w:rFonts w:ascii="Times New Roman" w:hAnsi="Times New Roman" w:cs="Times New Roman"/>
          <w:sz w:val="24"/>
          <w:szCs w:val="24"/>
        </w:rPr>
      </w:pPr>
    </w:p>
    <w:p w14:paraId="20619B49" w14:textId="5B8F1589" w:rsidR="00FB47F3" w:rsidRPr="00654EF6" w:rsidRDefault="00FB47F3">
      <w:pPr>
        <w:rPr>
          <w:rFonts w:ascii="Times New Roman" w:hAnsi="Times New Roman" w:cs="Times New Roman"/>
          <w:sz w:val="24"/>
          <w:szCs w:val="24"/>
        </w:rPr>
      </w:pPr>
    </w:p>
    <w:p w14:paraId="1B3A16B1" w14:textId="02B5E12C" w:rsidR="00FB47F3" w:rsidRPr="0077218F" w:rsidRDefault="00FB47F3">
      <w:pPr>
        <w:rPr>
          <w:rFonts w:ascii="Times New Roman" w:hAnsi="Times New Roman" w:cs="Times New Roman"/>
          <w:b/>
          <w:bCs/>
          <w:sz w:val="24"/>
          <w:szCs w:val="24"/>
        </w:rPr>
      </w:pPr>
      <w:r w:rsidRPr="0077218F">
        <w:rPr>
          <w:rFonts w:ascii="Times New Roman" w:hAnsi="Times New Roman" w:cs="Times New Roman"/>
          <w:b/>
          <w:bCs/>
          <w:sz w:val="24"/>
          <w:szCs w:val="24"/>
        </w:rPr>
        <w:lastRenderedPageBreak/>
        <w:t>SISUKORD</w:t>
      </w:r>
      <w:r w:rsidR="00280EE8">
        <w:rPr>
          <w:rFonts w:ascii="Times New Roman" w:hAnsi="Times New Roman" w:cs="Times New Roman"/>
          <w:b/>
          <w:bCs/>
          <w:sz w:val="24"/>
          <w:szCs w:val="24"/>
        </w:rPr>
        <w:t xml:space="preserve"> </w:t>
      </w:r>
    </w:p>
    <w:p w14:paraId="04445F3B" w14:textId="4E05FC3A" w:rsidR="00FB47F3" w:rsidRPr="00654EF6" w:rsidRDefault="00FB47F3">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et-EE"/>
        </w:rPr>
        <w:id w:val="938330133"/>
        <w:docPartObj>
          <w:docPartGallery w:val="Table of Contents"/>
          <w:docPartUnique/>
        </w:docPartObj>
      </w:sdtPr>
      <w:sdtEndPr>
        <w:rPr>
          <w:b/>
          <w:bCs/>
          <w:noProof/>
        </w:rPr>
      </w:sdtEndPr>
      <w:sdtContent>
        <w:p w14:paraId="6A46964C" w14:textId="77777777" w:rsidR="00A0627E" w:rsidRPr="00654EF6" w:rsidRDefault="00A0627E">
          <w:pPr>
            <w:pStyle w:val="TOCHeading"/>
            <w:rPr>
              <w:rFonts w:ascii="Times New Roman" w:hAnsi="Times New Roman" w:cs="Times New Roman"/>
              <w:sz w:val="24"/>
              <w:szCs w:val="24"/>
            </w:rPr>
          </w:pPr>
        </w:p>
        <w:p w14:paraId="7FF93084" w14:textId="705E48D5" w:rsidR="00400C46" w:rsidRPr="00245123" w:rsidRDefault="00A0627E">
          <w:pPr>
            <w:pStyle w:val="TOC1"/>
            <w:rPr>
              <w:rFonts w:asciiTheme="minorHAnsi" w:eastAsiaTheme="minorEastAsia" w:hAnsiTheme="minorHAnsi" w:cstheme="minorBidi"/>
              <w:sz w:val="22"/>
              <w:szCs w:val="22"/>
            </w:rPr>
          </w:pPr>
          <w:r w:rsidRPr="00654EF6">
            <w:fldChar w:fldCharType="begin"/>
          </w:r>
          <w:r w:rsidRPr="00654EF6">
            <w:instrText xml:space="preserve"> TOC \o "1-3" \h \z \u </w:instrText>
          </w:r>
          <w:r w:rsidRPr="00654EF6">
            <w:rPr>
              <w:noProof w:val="0"/>
            </w:rPr>
            <w:fldChar w:fldCharType="separate"/>
          </w:r>
          <w:hyperlink w:anchor="_Toc73953146" w:history="1">
            <w:r w:rsidR="00400C46" w:rsidRPr="00245123">
              <w:rPr>
                <w:rStyle w:val="Hyperlink"/>
                <w:color w:val="auto"/>
              </w:rPr>
              <w:t>1.</w:t>
            </w:r>
            <w:r w:rsidR="00400C46" w:rsidRPr="00245123">
              <w:rPr>
                <w:rFonts w:asciiTheme="minorHAnsi" w:eastAsiaTheme="minorEastAsia" w:hAnsiTheme="minorHAnsi" w:cstheme="minorBidi"/>
                <w:sz w:val="22"/>
                <w:szCs w:val="22"/>
              </w:rPr>
              <w:tab/>
            </w:r>
            <w:r w:rsidR="00400C46" w:rsidRPr="00245123">
              <w:rPr>
                <w:rStyle w:val="Hyperlink"/>
                <w:color w:val="auto"/>
              </w:rPr>
              <w:t>SISSEJUHATUS</w:t>
            </w:r>
            <w:r w:rsidR="00400C46" w:rsidRPr="00245123">
              <w:rPr>
                <w:webHidden/>
              </w:rPr>
              <w:tab/>
            </w:r>
            <w:r w:rsidR="00400C46" w:rsidRPr="00245123">
              <w:rPr>
                <w:webHidden/>
              </w:rPr>
              <w:fldChar w:fldCharType="begin"/>
            </w:r>
            <w:r w:rsidR="00400C46" w:rsidRPr="00245123">
              <w:rPr>
                <w:webHidden/>
              </w:rPr>
              <w:instrText xml:space="preserve"> PAGEREF _Toc73953146 \h </w:instrText>
            </w:r>
            <w:r w:rsidR="00400C46" w:rsidRPr="00245123">
              <w:rPr>
                <w:webHidden/>
              </w:rPr>
            </w:r>
            <w:r w:rsidR="00400C46" w:rsidRPr="00245123">
              <w:rPr>
                <w:webHidden/>
              </w:rPr>
              <w:fldChar w:fldCharType="separate"/>
            </w:r>
            <w:r w:rsidR="00BE7827">
              <w:rPr>
                <w:webHidden/>
              </w:rPr>
              <w:t>3</w:t>
            </w:r>
            <w:r w:rsidR="00400C46" w:rsidRPr="00245123">
              <w:rPr>
                <w:webHidden/>
              </w:rPr>
              <w:fldChar w:fldCharType="end"/>
            </w:r>
          </w:hyperlink>
        </w:p>
        <w:p w14:paraId="15C72700" w14:textId="2F299378" w:rsidR="00400C46" w:rsidRPr="00245123" w:rsidRDefault="001042A4">
          <w:pPr>
            <w:pStyle w:val="TOC1"/>
            <w:rPr>
              <w:rFonts w:asciiTheme="minorHAnsi" w:eastAsiaTheme="minorEastAsia" w:hAnsiTheme="minorHAnsi" w:cstheme="minorBidi"/>
              <w:sz w:val="22"/>
              <w:szCs w:val="22"/>
            </w:rPr>
          </w:pPr>
          <w:hyperlink w:anchor="_Toc73953147" w:history="1">
            <w:r w:rsidR="00400C46" w:rsidRPr="00245123">
              <w:rPr>
                <w:rStyle w:val="Hyperlink"/>
                <w:color w:val="auto"/>
              </w:rPr>
              <w:t>2.</w:t>
            </w:r>
            <w:r w:rsidR="00400C46" w:rsidRPr="00245123">
              <w:rPr>
                <w:rFonts w:asciiTheme="minorHAnsi" w:eastAsiaTheme="minorEastAsia" w:hAnsiTheme="minorHAnsi" w:cstheme="minorBidi"/>
                <w:sz w:val="22"/>
                <w:szCs w:val="22"/>
              </w:rPr>
              <w:tab/>
            </w:r>
            <w:r w:rsidR="00400C46" w:rsidRPr="00245123">
              <w:rPr>
                <w:rStyle w:val="Hyperlink"/>
                <w:color w:val="auto"/>
              </w:rPr>
              <w:t>SIHTVALIKU TAUSTAINFO JA EESMÄRK</w:t>
            </w:r>
            <w:r w:rsidR="00400C46" w:rsidRPr="00245123">
              <w:rPr>
                <w:webHidden/>
              </w:rPr>
              <w:tab/>
            </w:r>
            <w:r w:rsidR="00400C46" w:rsidRPr="00245123">
              <w:rPr>
                <w:webHidden/>
              </w:rPr>
              <w:fldChar w:fldCharType="begin"/>
            </w:r>
            <w:r w:rsidR="00400C46" w:rsidRPr="00245123">
              <w:rPr>
                <w:webHidden/>
              </w:rPr>
              <w:instrText xml:space="preserve"> PAGEREF _Toc73953147 \h </w:instrText>
            </w:r>
            <w:r w:rsidR="00400C46" w:rsidRPr="00245123">
              <w:rPr>
                <w:webHidden/>
              </w:rPr>
            </w:r>
            <w:r w:rsidR="00400C46" w:rsidRPr="00245123">
              <w:rPr>
                <w:webHidden/>
              </w:rPr>
              <w:fldChar w:fldCharType="separate"/>
            </w:r>
            <w:r w:rsidR="00BE7827">
              <w:rPr>
                <w:webHidden/>
              </w:rPr>
              <w:t>3</w:t>
            </w:r>
            <w:r w:rsidR="00400C46" w:rsidRPr="00245123">
              <w:rPr>
                <w:webHidden/>
              </w:rPr>
              <w:fldChar w:fldCharType="end"/>
            </w:r>
          </w:hyperlink>
        </w:p>
        <w:p w14:paraId="142FE5F9" w14:textId="6FBB38C0" w:rsidR="00400C46" w:rsidRPr="00245123" w:rsidRDefault="001042A4">
          <w:pPr>
            <w:pStyle w:val="TOC1"/>
            <w:rPr>
              <w:rFonts w:asciiTheme="minorHAnsi" w:eastAsiaTheme="minorEastAsia" w:hAnsiTheme="minorHAnsi" w:cstheme="minorBidi"/>
              <w:sz w:val="22"/>
              <w:szCs w:val="22"/>
            </w:rPr>
          </w:pPr>
          <w:hyperlink w:anchor="_Toc73953148" w:history="1">
            <w:r w:rsidR="00400C46" w:rsidRPr="00245123">
              <w:rPr>
                <w:rStyle w:val="Hyperlink"/>
                <w:color w:val="auto"/>
              </w:rPr>
              <w:t>3.</w:t>
            </w:r>
            <w:r w:rsidR="00400C46" w:rsidRPr="00245123">
              <w:rPr>
                <w:rFonts w:asciiTheme="minorHAnsi" w:eastAsiaTheme="minorEastAsia" w:hAnsiTheme="minorHAnsi" w:cstheme="minorBidi"/>
                <w:sz w:val="22"/>
                <w:szCs w:val="22"/>
              </w:rPr>
              <w:tab/>
            </w:r>
            <w:r w:rsidR="00400C46" w:rsidRPr="00245123">
              <w:rPr>
                <w:rStyle w:val="Hyperlink"/>
                <w:color w:val="auto"/>
              </w:rPr>
              <w:t>SIHTVALIKU KORRALDUS</w:t>
            </w:r>
            <w:r w:rsidR="00400C46" w:rsidRPr="00245123">
              <w:rPr>
                <w:webHidden/>
              </w:rPr>
              <w:tab/>
            </w:r>
            <w:r w:rsidR="00400C46" w:rsidRPr="00245123">
              <w:rPr>
                <w:webHidden/>
              </w:rPr>
              <w:fldChar w:fldCharType="begin"/>
            </w:r>
            <w:r w:rsidR="00400C46" w:rsidRPr="00245123">
              <w:rPr>
                <w:webHidden/>
              </w:rPr>
              <w:instrText xml:space="preserve"> PAGEREF _Toc73953148 \h </w:instrText>
            </w:r>
            <w:r w:rsidR="00400C46" w:rsidRPr="00245123">
              <w:rPr>
                <w:webHidden/>
              </w:rPr>
            </w:r>
            <w:r w:rsidR="00400C46" w:rsidRPr="00245123">
              <w:rPr>
                <w:webHidden/>
              </w:rPr>
              <w:fldChar w:fldCharType="separate"/>
            </w:r>
            <w:r w:rsidR="00BE7827">
              <w:rPr>
                <w:webHidden/>
              </w:rPr>
              <w:t>3</w:t>
            </w:r>
            <w:r w:rsidR="00400C46" w:rsidRPr="00245123">
              <w:rPr>
                <w:webHidden/>
              </w:rPr>
              <w:fldChar w:fldCharType="end"/>
            </w:r>
          </w:hyperlink>
        </w:p>
        <w:p w14:paraId="0C963310" w14:textId="66CAAD32" w:rsidR="00400C46" w:rsidRPr="00245123" w:rsidRDefault="001042A4">
          <w:pPr>
            <w:pStyle w:val="TOC1"/>
            <w:rPr>
              <w:rFonts w:asciiTheme="minorHAnsi" w:eastAsiaTheme="minorEastAsia" w:hAnsiTheme="minorHAnsi" w:cstheme="minorBidi"/>
              <w:sz w:val="22"/>
              <w:szCs w:val="22"/>
            </w:rPr>
          </w:pPr>
          <w:hyperlink w:anchor="_Toc73953149" w:history="1">
            <w:r w:rsidR="00400C46" w:rsidRPr="00245123">
              <w:rPr>
                <w:rStyle w:val="Hyperlink"/>
                <w:color w:val="auto"/>
              </w:rPr>
              <w:t>3.1. Sihtvaliku töörühm</w:t>
            </w:r>
            <w:r w:rsidR="00400C46" w:rsidRPr="00245123">
              <w:rPr>
                <w:webHidden/>
              </w:rPr>
              <w:tab/>
            </w:r>
            <w:r w:rsidR="00400C46" w:rsidRPr="00245123">
              <w:rPr>
                <w:webHidden/>
              </w:rPr>
              <w:fldChar w:fldCharType="begin"/>
            </w:r>
            <w:r w:rsidR="00400C46" w:rsidRPr="00245123">
              <w:rPr>
                <w:webHidden/>
              </w:rPr>
              <w:instrText xml:space="preserve"> PAGEREF _Toc73953149 \h </w:instrText>
            </w:r>
            <w:r w:rsidR="00400C46" w:rsidRPr="00245123">
              <w:rPr>
                <w:webHidden/>
              </w:rPr>
            </w:r>
            <w:r w:rsidR="00400C46" w:rsidRPr="00245123">
              <w:rPr>
                <w:webHidden/>
              </w:rPr>
              <w:fldChar w:fldCharType="separate"/>
            </w:r>
            <w:r w:rsidR="00BE7827">
              <w:rPr>
                <w:webHidden/>
              </w:rPr>
              <w:t>3</w:t>
            </w:r>
            <w:r w:rsidR="00400C46" w:rsidRPr="00245123">
              <w:rPr>
                <w:webHidden/>
              </w:rPr>
              <w:fldChar w:fldCharType="end"/>
            </w:r>
          </w:hyperlink>
        </w:p>
        <w:p w14:paraId="7931A9BA" w14:textId="643E5849" w:rsidR="00400C46" w:rsidRPr="00245123" w:rsidRDefault="001042A4">
          <w:pPr>
            <w:pStyle w:val="TOC1"/>
            <w:rPr>
              <w:rFonts w:asciiTheme="minorHAnsi" w:eastAsiaTheme="minorEastAsia" w:hAnsiTheme="minorHAnsi" w:cstheme="minorBidi"/>
              <w:sz w:val="22"/>
              <w:szCs w:val="22"/>
            </w:rPr>
          </w:pPr>
          <w:hyperlink w:anchor="_Toc73953150" w:history="1">
            <w:r w:rsidR="00400C46" w:rsidRPr="00245123">
              <w:rPr>
                <w:rStyle w:val="Hyperlink"/>
                <w:color w:val="auto"/>
              </w:rPr>
              <w:t>3.2. Valimi moodustamine</w:t>
            </w:r>
            <w:r w:rsidR="00400C46" w:rsidRPr="00245123">
              <w:rPr>
                <w:webHidden/>
              </w:rPr>
              <w:tab/>
            </w:r>
            <w:r w:rsidR="00400C46" w:rsidRPr="00245123">
              <w:rPr>
                <w:webHidden/>
              </w:rPr>
              <w:fldChar w:fldCharType="begin"/>
            </w:r>
            <w:r w:rsidR="00400C46" w:rsidRPr="00245123">
              <w:rPr>
                <w:webHidden/>
              </w:rPr>
              <w:instrText xml:space="preserve"> PAGEREF _Toc73953150 \h </w:instrText>
            </w:r>
            <w:r w:rsidR="00400C46" w:rsidRPr="00245123">
              <w:rPr>
                <w:webHidden/>
              </w:rPr>
            </w:r>
            <w:r w:rsidR="00400C46" w:rsidRPr="00245123">
              <w:rPr>
                <w:webHidden/>
              </w:rPr>
              <w:fldChar w:fldCharType="separate"/>
            </w:r>
            <w:r w:rsidR="00BE7827">
              <w:rPr>
                <w:webHidden/>
              </w:rPr>
              <w:t>4</w:t>
            </w:r>
            <w:r w:rsidR="00400C46" w:rsidRPr="00245123">
              <w:rPr>
                <w:webHidden/>
              </w:rPr>
              <w:fldChar w:fldCharType="end"/>
            </w:r>
          </w:hyperlink>
        </w:p>
        <w:p w14:paraId="01493844" w14:textId="635D5EC6" w:rsidR="00400C46" w:rsidRPr="00245123" w:rsidRDefault="001042A4">
          <w:pPr>
            <w:pStyle w:val="TOC1"/>
            <w:rPr>
              <w:rFonts w:asciiTheme="minorHAnsi" w:eastAsiaTheme="minorEastAsia" w:hAnsiTheme="minorHAnsi" w:cstheme="minorBidi"/>
              <w:sz w:val="22"/>
              <w:szCs w:val="22"/>
            </w:rPr>
          </w:pPr>
          <w:hyperlink w:anchor="_Toc73953151" w:history="1">
            <w:r w:rsidR="00400C46" w:rsidRPr="00245123">
              <w:rPr>
                <w:rStyle w:val="Hyperlink"/>
                <w:color w:val="auto"/>
              </w:rPr>
              <w:t>4.</w:t>
            </w:r>
            <w:r w:rsidR="00400C46" w:rsidRPr="00245123">
              <w:rPr>
                <w:rFonts w:asciiTheme="minorHAnsi" w:eastAsiaTheme="minorEastAsia" w:hAnsiTheme="minorHAnsi" w:cstheme="minorBidi"/>
                <w:sz w:val="22"/>
                <w:szCs w:val="22"/>
              </w:rPr>
              <w:tab/>
            </w:r>
            <w:r w:rsidR="00400C46" w:rsidRPr="00245123">
              <w:rPr>
                <w:rStyle w:val="Hyperlink"/>
                <w:color w:val="auto"/>
              </w:rPr>
              <w:t>HINDAMISE TULEMUSED</w:t>
            </w:r>
            <w:r w:rsidR="00400C46" w:rsidRPr="00245123">
              <w:rPr>
                <w:webHidden/>
              </w:rPr>
              <w:tab/>
            </w:r>
            <w:r w:rsidR="00400C46" w:rsidRPr="00245123">
              <w:rPr>
                <w:webHidden/>
              </w:rPr>
              <w:fldChar w:fldCharType="begin"/>
            </w:r>
            <w:r w:rsidR="00400C46" w:rsidRPr="00245123">
              <w:rPr>
                <w:webHidden/>
              </w:rPr>
              <w:instrText xml:space="preserve"> PAGEREF _Toc73953151 \h </w:instrText>
            </w:r>
            <w:r w:rsidR="00400C46" w:rsidRPr="00245123">
              <w:rPr>
                <w:webHidden/>
              </w:rPr>
            </w:r>
            <w:r w:rsidR="00400C46" w:rsidRPr="00245123">
              <w:rPr>
                <w:webHidden/>
              </w:rPr>
              <w:fldChar w:fldCharType="separate"/>
            </w:r>
            <w:r w:rsidR="00BE7827">
              <w:rPr>
                <w:webHidden/>
              </w:rPr>
              <w:t>4</w:t>
            </w:r>
            <w:r w:rsidR="00400C46" w:rsidRPr="00245123">
              <w:rPr>
                <w:webHidden/>
              </w:rPr>
              <w:fldChar w:fldCharType="end"/>
            </w:r>
          </w:hyperlink>
        </w:p>
        <w:p w14:paraId="71002732" w14:textId="63117C8F" w:rsidR="00400C46" w:rsidRPr="00245123" w:rsidRDefault="001042A4">
          <w:pPr>
            <w:pStyle w:val="TOC1"/>
            <w:rPr>
              <w:rFonts w:asciiTheme="minorHAnsi" w:eastAsiaTheme="minorEastAsia" w:hAnsiTheme="minorHAnsi" w:cstheme="minorBidi"/>
              <w:sz w:val="22"/>
              <w:szCs w:val="22"/>
            </w:rPr>
          </w:pPr>
          <w:hyperlink w:anchor="_Toc73953152" w:history="1">
            <w:r w:rsidR="00400C46" w:rsidRPr="00245123">
              <w:rPr>
                <w:rStyle w:val="Hyperlink"/>
                <w:color w:val="auto"/>
              </w:rPr>
              <w:t>4.1. Ravidokumentide vormistamine</w:t>
            </w:r>
            <w:r w:rsidR="00400C46" w:rsidRPr="00245123">
              <w:rPr>
                <w:webHidden/>
              </w:rPr>
              <w:tab/>
            </w:r>
            <w:r w:rsidR="00400C46" w:rsidRPr="00245123">
              <w:rPr>
                <w:webHidden/>
              </w:rPr>
              <w:fldChar w:fldCharType="begin"/>
            </w:r>
            <w:r w:rsidR="00400C46" w:rsidRPr="00245123">
              <w:rPr>
                <w:webHidden/>
              </w:rPr>
              <w:instrText xml:space="preserve"> PAGEREF _Toc73953152 \h </w:instrText>
            </w:r>
            <w:r w:rsidR="00400C46" w:rsidRPr="00245123">
              <w:rPr>
                <w:webHidden/>
              </w:rPr>
            </w:r>
            <w:r w:rsidR="00400C46" w:rsidRPr="00245123">
              <w:rPr>
                <w:webHidden/>
              </w:rPr>
              <w:fldChar w:fldCharType="separate"/>
            </w:r>
            <w:r w:rsidR="00BE7827">
              <w:rPr>
                <w:webHidden/>
              </w:rPr>
              <w:t>4</w:t>
            </w:r>
            <w:r w:rsidR="00400C46" w:rsidRPr="00245123">
              <w:rPr>
                <w:webHidden/>
              </w:rPr>
              <w:fldChar w:fldCharType="end"/>
            </w:r>
          </w:hyperlink>
        </w:p>
        <w:p w14:paraId="2DECA699" w14:textId="42E238E2" w:rsidR="00400C46" w:rsidRPr="00245123" w:rsidRDefault="001042A4">
          <w:pPr>
            <w:pStyle w:val="TOC1"/>
            <w:rPr>
              <w:rFonts w:asciiTheme="minorHAnsi" w:eastAsiaTheme="minorEastAsia" w:hAnsiTheme="minorHAnsi" w:cstheme="minorBidi"/>
              <w:sz w:val="22"/>
              <w:szCs w:val="22"/>
            </w:rPr>
          </w:pPr>
          <w:hyperlink w:anchor="_Toc73953153" w:history="1">
            <w:r w:rsidR="00400C46" w:rsidRPr="00245123">
              <w:rPr>
                <w:rStyle w:val="Hyperlink"/>
                <w:color w:val="auto"/>
              </w:rPr>
              <w:t>4.2. Ravijuhendi soovituste hindamine</w:t>
            </w:r>
            <w:r w:rsidR="00400C46" w:rsidRPr="00245123">
              <w:rPr>
                <w:webHidden/>
              </w:rPr>
              <w:tab/>
            </w:r>
            <w:r w:rsidR="00400C46" w:rsidRPr="00245123">
              <w:rPr>
                <w:webHidden/>
              </w:rPr>
              <w:fldChar w:fldCharType="begin"/>
            </w:r>
            <w:r w:rsidR="00400C46" w:rsidRPr="00245123">
              <w:rPr>
                <w:webHidden/>
              </w:rPr>
              <w:instrText xml:space="preserve"> PAGEREF _Toc73953153 \h </w:instrText>
            </w:r>
            <w:r w:rsidR="00400C46" w:rsidRPr="00245123">
              <w:rPr>
                <w:webHidden/>
              </w:rPr>
            </w:r>
            <w:r w:rsidR="00400C46" w:rsidRPr="00245123">
              <w:rPr>
                <w:webHidden/>
              </w:rPr>
              <w:fldChar w:fldCharType="separate"/>
            </w:r>
            <w:r w:rsidR="00BE7827">
              <w:rPr>
                <w:webHidden/>
              </w:rPr>
              <w:t>4</w:t>
            </w:r>
            <w:r w:rsidR="00400C46" w:rsidRPr="00245123">
              <w:rPr>
                <w:webHidden/>
              </w:rPr>
              <w:fldChar w:fldCharType="end"/>
            </w:r>
          </w:hyperlink>
        </w:p>
        <w:p w14:paraId="625F4BCE" w14:textId="378336A8" w:rsidR="00400C46" w:rsidRPr="00245123" w:rsidRDefault="001042A4" w:rsidP="00400C46">
          <w:pPr>
            <w:pStyle w:val="TOC1"/>
            <w:rPr>
              <w:rFonts w:asciiTheme="minorHAnsi" w:eastAsiaTheme="minorEastAsia" w:hAnsiTheme="minorHAnsi" w:cstheme="minorBidi"/>
              <w:sz w:val="22"/>
              <w:szCs w:val="22"/>
            </w:rPr>
          </w:pPr>
          <w:hyperlink w:anchor="_Toc73953154" w:history="1">
            <w:r w:rsidR="00400C46" w:rsidRPr="00245123">
              <w:rPr>
                <w:rStyle w:val="Hyperlink"/>
                <w:color w:val="auto"/>
              </w:rPr>
              <w:t xml:space="preserve">4.3. Kirurgilise ravi vajalikkus </w:t>
            </w:r>
            <w:r w:rsidR="00400C46" w:rsidRPr="00245123">
              <w:rPr>
                <w:webHidden/>
              </w:rPr>
              <w:tab/>
            </w:r>
            <w:r w:rsidR="00400C46" w:rsidRPr="00245123">
              <w:rPr>
                <w:webHidden/>
              </w:rPr>
              <w:fldChar w:fldCharType="begin"/>
            </w:r>
            <w:r w:rsidR="00400C46" w:rsidRPr="00245123">
              <w:rPr>
                <w:webHidden/>
              </w:rPr>
              <w:instrText xml:space="preserve"> PAGEREF _Toc73953154 \h </w:instrText>
            </w:r>
            <w:r w:rsidR="00400C46" w:rsidRPr="00245123">
              <w:rPr>
                <w:webHidden/>
              </w:rPr>
            </w:r>
            <w:r w:rsidR="00400C46" w:rsidRPr="00245123">
              <w:rPr>
                <w:webHidden/>
              </w:rPr>
              <w:fldChar w:fldCharType="separate"/>
            </w:r>
            <w:r w:rsidR="00BE7827">
              <w:rPr>
                <w:webHidden/>
              </w:rPr>
              <w:t>4</w:t>
            </w:r>
            <w:r w:rsidR="00400C46" w:rsidRPr="00245123">
              <w:rPr>
                <w:webHidden/>
              </w:rPr>
              <w:fldChar w:fldCharType="end"/>
            </w:r>
          </w:hyperlink>
        </w:p>
        <w:p w14:paraId="7CEC1618" w14:textId="5B8C5345" w:rsidR="00400C46" w:rsidRPr="00BE7827" w:rsidRDefault="00EC148D" w:rsidP="00BE7827">
          <w:pPr>
            <w:pStyle w:val="TOC2"/>
            <w:ind w:left="0"/>
            <w:rPr>
              <w:rFonts w:eastAsiaTheme="minorEastAsia"/>
            </w:rPr>
          </w:pPr>
          <w:r w:rsidRPr="00BE7827">
            <w:rPr>
              <w:rStyle w:val="Hyperlink"/>
              <w:color w:val="auto"/>
              <w:u w:val="none"/>
            </w:rPr>
            <w:t>4.4.</w:t>
          </w:r>
          <w:hyperlink w:anchor="_Toc73953156" w:history="1">
            <w:r w:rsidR="00400C46" w:rsidRPr="00BE7827">
              <w:rPr>
                <w:rStyle w:val="Hyperlink"/>
                <w:rFonts w:ascii="Times New Roman" w:hAnsi="Times New Roman"/>
                <w:color w:val="auto"/>
                <w:u w:val="none"/>
              </w:rPr>
              <w:t xml:space="preserve"> </w:t>
            </w:r>
            <w:r w:rsidR="00400C46" w:rsidRPr="00BE7827">
              <w:rPr>
                <w:rStyle w:val="Hyperlink"/>
                <w:rFonts w:ascii="Times New Roman" w:eastAsia="Times New Roman" w:hAnsi="Times New Roman"/>
                <w:color w:val="auto"/>
                <w:u w:val="none"/>
                <w:lang w:eastAsia="ar-SA"/>
              </w:rPr>
              <w:t>Patsiendi preoperatiivne käsitlus</w:t>
            </w:r>
            <w:r w:rsidR="00400C46" w:rsidRPr="00BE7827">
              <w:rPr>
                <w:webHidden/>
              </w:rPr>
              <w:tab/>
            </w:r>
            <w:r w:rsidR="00400C46" w:rsidRPr="00BE7827">
              <w:rPr>
                <w:webHidden/>
              </w:rPr>
              <w:fldChar w:fldCharType="begin"/>
            </w:r>
            <w:r w:rsidR="00400C46" w:rsidRPr="00BE7827">
              <w:rPr>
                <w:webHidden/>
              </w:rPr>
              <w:instrText xml:space="preserve"> PAGEREF _Toc73953156 \h </w:instrText>
            </w:r>
            <w:r w:rsidR="00400C46" w:rsidRPr="00BE7827">
              <w:rPr>
                <w:webHidden/>
              </w:rPr>
            </w:r>
            <w:r w:rsidR="00400C46" w:rsidRPr="00BE7827">
              <w:rPr>
                <w:webHidden/>
              </w:rPr>
              <w:fldChar w:fldCharType="separate"/>
            </w:r>
            <w:r w:rsidR="00BE7827">
              <w:rPr>
                <w:webHidden/>
              </w:rPr>
              <w:t>5</w:t>
            </w:r>
            <w:r w:rsidR="00400C46" w:rsidRPr="00BE7827">
              <w:rPr>
                <w:webHidden/>
              </w:rPr>
              <w:fldChar w:fldCharType="end"/>
            </w:r>
          </w:hyperlink>
        </w:p>
        <w:p w14:paraId="01162062" w14:textId="4BF967E6" w:rsidR="00400C46" w:rsidRPr="00BE7827" w:rsidRDefault="001042A4" w:rsidP="00BE7827">
          <w:pPr>
            <w:pStyle w:val="TOC2"/>
            <w:ind w:left="0"/>
            <w:rPr>
              <w:rFonts w:eastAsiaTheme="minorEastAsia"/>
            </w:rPr>
          </w:pPr>
          <w:hyperlink w:anchor="_Toc73953163" w:history="1">
            <w:r w:rsidR="00400C46" w:rsidRPr="00BE7827">
              <w:rPr>
                <w:rStyle w:val="Hyperlink"/>
                <w:color w:val="auto"/>
              </w:rPr>
              <w:t xml:space="preserve">4.5. </w:t>
            </w:r>
            <w:r w:rsidR="00400C46" w:rsidRPr="00BE7827">
              <w:rPr>
                <w:rStyle w:val="Hyperlink"/>
                <w:rFonts w:ascii="Times New Roman" w:hAnsi="Times New Roman"/>
                <w:color w:val="auto"/>
              </w:rPr>
              <w:t>Patsiendi postoperatiivne käsitlus</w:t>
            </w:r>
            <w:r w:rsidR="00400C46" w:rsidRPr="00BE7827">
              <w:rPr>
                <w:webHidden/>
              </w:rPr>
              <w:tab/>
            </w:r>
            <w:r w:rsidR="00400C46" w:rsidRPr="00BE7827">
              <w:rPr>
                <w:webHidden/>
              </w:rPr>
              <w:fldChar w:fldCharType="begin"/>
            </w:r>
            <w:r w:rsidR="00400C46" w:rsidRPr="00BE7827">
              <w:rPr>
                <w:webHidden/>
              </w:rPr>
              <w:instrText xml:space="preserve"> PAGEREF _Toc73953163 \h </w:instrText>
            </w:r>
            <w:r w:rsidR="00400C46" w:rsidRPr="00BE7827">
              <w:rPr>
                <w:webHidden/>
              </w:rPr>
            </w:r>
            <w:r w:rsidR="00400C46" w:rsidRPr="00BE7827">
              <w:rPr>
                <w:webHidden/>
              </w:rPr>
              <w:fldChar w:fldCharType="separate"/>
            </w:r>
            <w:r w:rsidR="00BE7827">
              <w:rPr>
                <w:webHidden/>
              </w:rPr>
              <w:t>6</w:t>
            </w:r>
            <w:r w:rsidR="00400C46" w:rsidRPr="00BE7827">
              <w:rPr>
                <w:webHidden/>
              </w:rPr>
              <w:fldChar w:fldCharType="end"/>
            </w:r>
          </w:hyperlink>
        </w:p>
        <w:p w14:paraId="222005FB" w14:textId="24E12154" w:rsidR="00400C46" w:rsidRPr="00245123" w:rsidRDefault="001042A4">
          <w:pPr>
            <w:pStyle w:val="TOC1"/>
            <w:rPr>
              <w:rFonts w:asciiTheme="minorHAnsi" w:eastAsiaTheme="minorEastAsia" w:hAnsiTheme="minorHAnsi" w:cstheme="minorBidi"/>
              <w:sz w:val="22"/>
              <w:szCs w:val="22"/>
            </w:rPr>
          </w:pPr>
          <w:hyperlink w:anchor="_Toc73953168" w:history="1">
            <w:r w:rsidR="00400C46" w:rsidRPr="00245123">
              <w:rPr>
                <w:rStyle w:val="Hyperlink"/>
                <w:color w:val="auto"/>
              </w:rPr>
              <w:t>5.</w:t>
            </w:r>
            <w:r w:rsidR="00400C46" w:rsidRPr="00245123">
              <w:rPr>
                <w:rFonts w:asciiTheme="minorHAnsi" w:eastAsiaTheme="minorEastAsia" w:hAnsiTheme="minorHAnsi" w:cstheme="minorBidi"/>
                <w:sz w:val="22"/>
                <w:szCs w:val="22"/>
              </w:rPr>
              <w:tab/>
            </w:r>
            <w:r w:rsidR="00400C46" w:rsidRPr="00245123">
              <w:rPr>
                <w:rStyle w:val="Hyperlink"/>
                <w:color w:val="auto"/>
              </w:rPr>
              <w:t>Järeldused</w:t>
            </w:r>
            <w:r w:rsidR="00400C46" w:rsidRPr="00245123">
              <w:rPr>
                <w:webHidden/>
              </w:rPr>
              <w:tab/>
            </w:r>
            <w:r w:rsidR="00400C46" w:rsidRPr="00245123">
              <w:rPr>
                <w:webHidden/>
              </w:rPr>
              <w:fldChar w:fldCharType="begin"/>
            </w:r>
            <w:r w:rsidR="00400C46" w:rsidRPr="00245123">
              <w:rPr>
                <w:webHidden/>
              </w:rPr>
              <w:instrText xml:space="preserve"> PAGEREF _Toc73953168 \h </w:instrText>
            </w:r>
            <w:r w:rsidR="00400C46" w:rsidRPr="00245123">
              <w:rPr>
                <w:webHidden/>
              </w:rPr>
            </w:r>
            <w:r w:rsidR="00400C46" w:rsidRPr="00245123">
              <w:rPr>
                <w:webHidden/>
              </w:rPr>
              <w:fldChar w:fldCharType="separate"/>
            </w:r>
            <w:r w:rsidR="00BE7827">
              <w:rPr>
                <w:webHidden/>
              </w:rPr>
              <w:t>7</w:t>
            </w:r>
            <w:r w:rsidR="00400C46" w:rsidRPr="00245123">
              <w:rPr>
                <w:webHidden/>
              </w:rPr>
              <w:fldChar w:fldCharType="end"/>
            </w:r>
          </w:hyperlink>
        </w:p>
        <w:p w14:paraId="43403E50" w14:textId="7E89023C" w:rsidR="00400C46" w:rsidRPr="00245123" w:rsidRDefault="001042A4">
          <w:pPr>
            <w:pStyle w:val="TOC1"/>
            <w:rPr>
              <w:rFonts w:asciiTheme="minorHAnsi" w:eastAsiaTheme="minorEastAsia" w:hAnsiTheme="minorHAnsi" w:cstheme="minorBidi"/>
              <w:sz w:val="22"/>
              <w:szCs w:val="22"/>
            </w:rPr>
          </w:pPr>
          <w:hyperlink w:anchor="_Toc73953171" w:history="1">
            <w:r w:rsidR="00400C46" w:rsidRPr="00245123">
              <w:rPr>
                <w:rStyle w:val="Hyperlink"/>
                <w:color w:val="auto"/>
              </w:rPr>
              <w:t>6.</w:t>
            </w:r>
            <w:r w:rsidR="00400C46" w:rsidRPr="00245123">
              <w:rPr>
                <w:rFonts w:asciiTheme="minorHAnsi" w:eastAsiaTheme="minorEastAsia" w:hAnsiTheme="minorHAnsi" w:cstheme="minorBidi"/>
                <w:sz w:val="22"/>
                <w:szCs w:val="22"/>
              </w:rPr>
              <w:tab/>
            </w:r>
            <w:r w:rsidR="00400C46" w:rsidRPr="00245123">
              <w:rPr>
                <w:rStyle w:val="Hyperlink"/>
                <w:color w:val="auto"/>
              </w:rPr>
              <w:t>ETTEPANEKUD JA JÄTKUTEGEVUSED</w:t>
            </w:r>
            <w:r w:rsidR="00400C46" w:rsidRPr="00245123">
              <w:rPr>
                <w:webHidden/>
              </w:rPr>
              <w:tab/>
            </w:r>
            <w:r w:rsidR="00400C46" w:rsidRPr="00245123">
              <w:rPr>
                <w:webHidden/>
              </w:rPr>
              <w:fldChar w:fldCharType="begin"/>
            </w:r>
            <w:r w:rsidR="00400C46" w:rsidRPr="00245123">
              <w:rPr>
                <w:webHidden/>
              </w:rPr>
              <w:instrText xml:space="preserve"> PAGEREF _Toc73953171 \h </w:instrText>
            </w:r>
            <w:r w:rsidR="00400C46" w:rsidRPr="00245123">
              <w:rPr>
                <w:webHidden/>
              </w:rPr>
            </w:r>
            <w:r w:rsidR="00400C46" w:rsidRPr="00245123">
              <w:rPr>
                <w:webHidden/>
              </w:rPr>
              <w:fldChar w:fldCharType="separate"/>
            </w:r>
            <w:r w:rsidR="00BE7827">
              <w:rPr>
                <w:webHidden/>
              </w:rPr>
              <w:t>7</w:t>
            </w:r>
            <w:r w:rsidR="00400C46" w:rsidRPr="00245123">
              <w:rPr>
                <w:webHidden/>
              </w:rPr>
              <w:fldChar w:fldCharType="end"/>
            </w:r>
          </w:hyperlink>
        </w:p>
        <w:p w14:paraId="3100BEBF" w14:textId="35E6F9F7" w:rsidR="00A0627E" w:rsidRPr="00654EF6" w:rsidRDefault="00A0627E">
          <w:pPr>
            <w:rPr>
              <w:rFonts w:ascii="Times New Roman" w:hAnsi="Times New Roman" w:cs="Times New Roman"/>
              <w:sz w:val="24"/>
              <w:szCs w:val="24"/>
            </w:rPr>
          </w:pPr>
          <w:r w:rsidRPr="00654EF6">
            <w:rPr>
              <w:rFonts w:ascii="Times New Roman" w:hAnsi="Times New Roman" w:cs="Times New Roman"/>
              <w:b/>
              <w:bCs/>
              <w:noProof/>
              <w:sz w:val="24"/>
              <w:szCs w:val="24"/>
            </w:rPr>
            <w:fldChar w:fldCharType="end"/>
          </w:r>
        </w:p>
      </w:sdtContent>
    </w:sdt>
    <w:p w14:paraId="56AA13D6" w14:textId="55C7DF9E" w:rsidR="00FB47F3" w:rsidRPr="00654EF6" w:rsidRDefault="00FB47F3">
      <w:pPr>
        <w:rPr>
          <w:rFonts w:ascii="Times New Roman" w:hAnsi="Times New Roman" w:cs="Times New Roman"/>
          <w:sz w:val="24"/>
          <w:szCs w:val="24"/>
        </w:rPr>
      </w:pPr>
    </w:p>
    <w:p w14:paraId="6FDA994C" w14:textId="70F68F99" w:rsidR="00FB47F3" w:rsidRDefault="00FB47F3">
      <w:pPr>
        <w:rPr>
          <w:rFonts w:ascii="Times New Roman" w:hAnsi="Times New Roman" w:cs="Times New Roman"/>
          <w:sz w:val="24"/>
          <w:szCs w:val="24"/>
        </w:rPr>
      </w:pPr>
    </w:p>
    <w:p w14:paraId="3DEFDA6A" w14:textId="359AFBD6" w:rsidR="005E3FE5" w:rsidRDefault="005E3FE5">
      <w:pPr>
        <w:rPr>
          <w:rFonts w:ascii="Times New Roman" w:hAnsi="Times New Roman" w:cs="Times New Roman"/>
          <w:sz w:val="24"/>
          <w:szCs w:val="24"/>
        </w:rPr>
      </w:pPr>
    </w:p>
    <w:p w14:paraId="15BC06BA" w14:textId="695ADA12" w:rsidR="005E3FE5" w:rsidRDefault="005E3FE5">
      <w:pPr>
        <w:rPr>
          <w:rFonts w:ascii="Times New Roman" w:hAnsi="Times New Roman" w:cs="Times New Roman"/>
          <w:sz w:val="24"/>
          <w:szCs w:val="24"/>
        </w:rPr>
      </w:pPr>
    </w:p>
    <w:p w14:paraId="5D6CCFD6" w14:textId="326E22C7" w:rsidR="005E3FE5" w:rsidRDefault="005E3FE5">
      <w:pPr>
        <w:rPr>
          <w:rFonts w:ascii="Times New Roman" w:hAnsi="Times New Roman" w:cs="Times New Roman"/>
          <w:sz w:val="24"/>
          <w:szCs w:val="24"/>
        </w:rPr>
      </w:pPr>
    </w:p>
    <w:p w14:paraId="4639048F" w14:textId="1470BABE" w:rsidR="005E3FE5" w:rsidRDefault="005E3FE5">
      <w:pPr>
        <w:rPr>
          <w:rFonts w:ascii="Times New Roman" w:hAnsi="Times New Roman" w:cs="Times New Roman"/>
          <w:sz w:val="24"/>
          <w:szCs w:val="24"/>
        </w:rPr>
      </w:pPr>
    </w:p>
    <w:p w14:paraId="43B8C7DE" w14:textId="22D85602" w:rsidR="005E3FE5" w:rsidRDefault="005E3FE5">
      <w:pPr>
        <w:rPr>
          <w:rFonts w:ascii="Times New Roman" w:hAnsi="Times New Roman" w:cs="Times New Roman"/>
          <w:sz w:val="24"/>
          <w:szCs w:val="24"/>
        </w:rPr>
      </w:pPr>
    </w:p>
    <w:p w14:paraId="606853B4" w14:textId="1D601D73" w:rsidR="005E3FE5" w:rsidRDefault="005E3FE5">
      <w:pPr>
        <w:rPr>
          <w:rFonts w:ascii="Times New Roman" w:hAnsi="Times New Roman" w:cs="Times New Roman"/>
          <w:sz w:val="24"/>
          <w:szCs w:val="24"/>
        </w:rPr>
      </w:pPr>
    </w:p>
    <w:p w14:paraId="0B567E53" w14:textId="1038FCD0" w:rsidR="005E3FE5" w:rsidRDefault="005E3FE5">
      <w:pPr>
        <w:rPr>
          <w:rFonts w:ascii="Times New Roman" w:hAnsi="Times New Roman" w:cs="Times New Roman"/>
          <w:sz w:val="24"/>
          <w:szCs w:val="24"/>
        </w:rPr>
      </w:pPr>
    </w:p>
    <w:p w14:paraId="7547760D" w14:textId="5188BD4B" w:rsidR="005E3FE5" w:rsidRDefault="005E3FE5">
      <w:pPr>
        <w:rPr>
          <w:rFonts w:ascii="Times New Roman" w:hAnsi="Times New Roman" w:cs="Times New Roman"/>
          <w:sz w:val="24"/>
          <w:szCs w:val="24"/>
        </w:rPr>
      </w:pPr>
    </w:p>
    <w:p w14:paraId="05D2C7BB" w14:textId="77777777" w:rsidR="005E3FE5" w:rsidRPr="00654EF6" w:rsidRDefault="005E3FE5">
      <w:pPr>
        <w:rPr>
          <w:rFonts w:ascii="Times New Roman" w:hAnsi="Times New Roman" w:cs="Times New Roman"/>
          <w:sz w:val="24"/>
          <w:szCs w:val="24"/>
        </w:rPr>
      </w:pPr>
    </w:p>
    <w:p w14:paraId="6A4643DD" w14:textId="24A66F6C" w:rsidR="00FB47F3" w:rsidRPr="00654EF6" w:rsidRDefault="00FB47F3">
      <w:pPr>
        <w:rPr>
          <w:rFonts w:ascii="Times New Roman" w:hAnsi="Times New Roman" w:cs="Times New Roman"/>
          <w:sz w:val="24"/>
          <w:szCs w:val="24"/>
        </w:rPr>
      </w:pPr>
    </w:p>
    <w:p w14:paraId="200D388F" w14:textId="363F93E0" w:rsidR="00FB47F3" w:rsidRPr="00654EF6" w:rsidRDefault="00FB47F3">
      <w:pPr>
        <w:rPr>
          <w:rFonts w:ascii="Times New Roman" w:hAnsi="Times New Roman" w:cs="Times New Roman"/>
          <w:sz w:val="24"/>
          <w:szCs w:val="24"/>
        </w:rPr>
      </w:pPr>
    </w:p>
    <w:p w14:paraId="6D18B154" w14:textId="6757E597" w:rsidR="00FB47F3" w:rsidRPr="00654EF6" w:rsidRDefault="00FB47F3">
      <w:pPr>
        <w:rPr>
          <w:rFonts w:ascii="Times New Roman" w:hAnsi="Times New Roman" w:cs="Times New Roman"/>
          <w:sz w:val="24"/>
          <w:szCs w:val="24"/>
        </w:rPr>
      </w:pPr>
    </w:p>
    <w:p w14:paraId="320FB849" w14:textId="201D879D" w:rsidR="00FB47F3" w:rsidRPr="00654EF6" w:rsidRDefault="00FB47F3">
      <w:pPr>
        <w:rPr>
          <w:rFonts w:ascii="Times New Roman" w:hAnsi="Times New Roman" w:cs="Times New Roman"/>
          <w:sz w:val="24"/>
          <w:szCs w:val="24"/>
        </w:rPr>
      </w:pPr>
    </w:p>
    <w:p w14:paraId="6981C109" w14:textId="6543F553" w:rsidR="001A2E6C" w:rsidRPr="0077218F" w:rsidRDefault="001A2E6C" w:rsidP="00A0627E">
      <w:pPr>
        <w:pStyle w:val="Heading1"/>
        <w:numPr>
          <w:ilvl w:val="0"/>
          <w:numId w:val="17"/>
        </w:numPr>
        <w:rPr>
          <w:rFonts w:cs="Times New Roman"/>
          <w:szCs w:val="24"/>
        </w:rPr>
      </w:pPr>
      <w:bookmarkStart w:id="0" w:name="_Toc45190783"/>
      <w:bookmarkStart w:id="1" w:name="_Toc47520393"/>
      <w:bookmarkStart w:id="2" w:name="_Toc73953146"/>
      <w:r w:rsidRPr="0077218F">
        <w:rPr>
          <w:rFonts w:cs="Times New Roman"/>
          <w:szCs w:val="24"/>
        </w:rPr>
        <w:t>SISSEJUHATUS</w:t>
      </w:r>
      <w:bookmarkEnd w:id="0"/>
      <w:bookmarkEnd w:id="1"/>
      <w:bookmarkEnd w:id="2"/>
    </w:p>
    <w:p w14:paraId="2ACA10C5" w14:textId="77777777" w:rsidR="009E379A" w:rsidRPr="00652AF2" w:rsidRDefault="009E379A" w:rsidP="009E379A">
      <w:pPr>
        <w:pStyle w:val="ListParagraph"/>
        <w:ind w:left="502"/>
        <w:rPr>
          <w:b/>
          <w:bCs/>
        </w:rPr>
      </w:pPr>
    </w:p>
    <w:p w14:paraId="0D0B0810" w14:textId="1216DEA3" w:rsidR="009E379A" w:rsidRPr="00FD1B5C" w:rsidRDefault="00FD1B5C" w:rsidP="009E379A">
      <w:pPr>
        <w:jc w:val="both"/>
        <w:rPr>
          <w:rFonts w:ascii="Times New Roman" w:hAnsi="Times New Roman" w:cs="Times New Roman"/>
          <w:sz w:val="24"/>
          <w:szCs w:val="24"/>
        </w:rPr>
      </w:pPr>
      <w:bookmarkStart w:id="3" w:name="_Toc45190784"/>
      <w:bookmarkStart w:id="4" w:name="_Toc47520394"/>
      <w:r w:rsidRPr="00FD1B5C">
        <w:rPr>
          <w:rFonts w:ascii="Times New Roman" w:hAnsi="Times New Roman" w:cs="Times New Roman"/>
          <w:color w:val="000000"/>
          <w:sz w:val="24"/>
          <w:szCs w:val="24"/>
          <w:shd w:val="clear" w:color="auto" w:fill="FFFFFF"/>
        </w:rPr>
        <w:t xml:space="preserve">Maovähendusoperatsioonid ehk kaalukirurgia </w:t>
      </w:r>
      <w:r>
        <w:rPr>
          <w:rFonts w:ascii="Times New Roman" w:hAnsi="Times New Roman" w:cs="Times New Roman"/>
          <w:color w:val="000000"/>
          <w:sz w:val="24"/>
          <w:szCs w:val="24"/>
          <w:shd w:val="clear" w:color="auto" w:fill="FFFFFF"/>
        </w:rPr>
        <w:t xml:space="preserve">ehk bariaatriline kirurgia </w:t>
      </w:r>
      <w:r w:rsidRPr="00FD1B5C">
        <w:rPr>
          <w:rFonts w:ascii="Times New Roman" w:hAnsi="Times New Roman" w:cs="Times New Roman"/>
          <w:color w:val="000000"/>
          <w:sz w:val="24"/>
          <w:szCs w:val="24"/>
          <w:shd w:val="clear" w:color="auto" w:fill="FFFFFF"/>
        </w:rPr>
        <w:t>on tänapäeval konkurentsitult kõige efektiivsem rasvumise ravimeetod, mis aitab oluliselt parandada tervist, elukvaliteeti ja igapäevaste regulaarsete tegevuste kogemust. Enamik inimesi, kes läbivad maovähendusoperatsiooni, kaotavad oma soovimatu ülekaalu püsivalt. Nad on tervislikumad, aktiivsemad ja vajavad vähem ravimeid kui enne operatsiooni.</w:t>
      </w:r>
      <w:r>
        <w:rPr>
          <w:rFonts w:ascii="Times New Roman" w:hAnsi="Times New Roman" w:cs="Times New Roman"/>
          <w:color w:val="000000"/>
          <w:sz w:val="24"/>
          <w:szCs w:val="24"/>
          <w:shd w:val="clear" w:color="auto" w:fill="FFFFFF"/>
        </w:rPr>
        <w:t xml:space="preserve"> Bariaatrilised operatsioonid teostatakse </w:t>
      </w:r>
      <w:proofErr w:type="spellStart"/>
      <w:r>
        <w:rPr>
          <w:rFonts w:ascii="Times New Roman" w:hAnsi="Times New Roman" w:cs="Times New Roman"/>
          <w:color w:val="000000"/>
          <w:sz w:val="24"/>
          <w:szCs w:val="24"/>
          <w:shd w:val="clear" w:color="auto" w:fill="FFFFFF"/>
        </w:rPr>
        <w:t>laparoskoopiliselt</w:t>
      </w:r>
      <w:proofErr w:type="spellEnd"/>
      <w:r>
        <w:rPr>
          <w:rFonts w:ascii="Times New Roman" w:hAnsi="Times New Roman" w:cs="Times New Roman"/>
          <w:color w:val="000000"/>
          <w:sz w:val="24"/>
          <w:szCs w:val="24"/>
          <w:shd w:val="clear" w:color="auto" w:fill="FFFFFF"/>
        </w:rPr>
        <w:t>.</w:t>
      </w:r>
    </w:p>
    <w:p w14:paraId="223975F7" w14:textId="77777777" w:rsidR="009E379A" w:rsidRPr="00652AF2" w:rsidRDefault="009E379A" w:rsidP="009E379A">
      <w:pPr>
        <w:jc w:val="both"/>
        <w:rPr>
          <w:rFonts w:ascii="Times New Roman" w:hAnsi="Times New Roman" w:cs="Times New Roman"/>
          <w:sz w:val="24"/>
          <w:szCs w:val="24"/>
        </w:rPr>
      </w:pPr>
    </w:p>
    <w:p w14:paraId="19A9BF9E" w14:textId="344AD2AC" w:rsidR="001A2E6C" w:rsidRPr="0067428C" w:rsidRDefault="001A2E6C" w:rsidP="00A0627E">
      <w:pPr>
        <w:pStyle w:val="Heading1"/>
        <w:numPr>
          <w:ilvl w:val="0"/>
          <w:numId w:val="17"/>
        </w:numPr>
        <w:rPr>
          <w:rFonts w:cs="Times New Roman"/>
          <w:szCs w:val="24"/>
        </w:rPr>
      </w:pPr>
      <w:bookmarkStart w:id="5" w:name="_Toc73953147"/>
      <w:r w:rsidRPr="00E937E5">
        <w:rPr>
          <w:rFonts w:cs="Times New Roman"/>
          <w:szCs w:val="24"/>
        </w:rPr>
        <w:t>SIHTVALIK</w:t>
      </w:r>
      <w:r w:rsidR="00A0627E" w:rsidRPr="0067428C">
        <w:rPr>
          <w:rFonts w:cs="Times New Roman"/>
          <w:szCs w:val="24"/>
        </w:rPr>
        <w:t>U</w:t>
      </w:r>
      <w:r w:rsidRPr="0067428C">
        <w:rPr>
          <w:rFonts w:cs="Times New Roman"/>
          <w:szCs w:val="24"/>
        </w:rPr>
        <w:t xml:space="preserve"> TAUSTAINFO JA EESMÄRK</w:t>
      </w:r>
      <w:bookmarkEnd w:id="3"/>
      <w:bookmarkEnd w:id="4"/>
      <w:bookmarkEnd w:id="5"/>
    </w:p>
    <w:p w14:paraId="222EC555" w14:textId="77777777" w:rsidR="009E379A" w:rsidRPr="00652AF2" w:rsidRDefault="009E379A" w:rsidP="009E379A">
      <w:pPr>
        <w:pStyle w:val="ListParagraph"/>
        <w:ind w:left="502"/>
        <w:jc w:val="both"/>
        <w:rPr>
          <w:b/>
          <w:bCs/>
        </w:rPr>
      </w:pPr>
    </w:p>
    <w:p w14:paraId="1B17C394" w14:textId="77777777" w:rsidR="00836AAF" w:rsidRPr="00836AAF" w:rsidRDefault="00836AAF" w:rsidP="00836AAF">
      <w:pPr>
        <w:jc w:val="both"/>
        <w:rPr>
          <w:rFonts w:ascii="Times New Roman" w:hAnsi="Times New Roman" w:cs="Times New Roman"/>
          <w:sz w:val="24"/>
          <w:szCs w:val="24"/>
        </w:rPr>
      </w:pPr>
      <w:r w:rsidRPr="00836AAF">
        <w:rPr>
          <w:rFonts w:ascii="Times New Roman" w:hAnsi="Times New Roman" w:cs="Times New Roman"/>
          <w:sz w:val="24"/>
          <w:szCs w:val="24"/>
        </w:rPr>
        <w:t>2014.a. toimus bariaatrilise ravi audit. Auditi järgselt koostatud ravijuhend avalikustati 2016.a.</w:t>
      </w:r>
    </w:p>
    <w:p w14:paraId="79B6B2C5" w14:textId="77777777" w:rsidR="00836AAF" w:rsidRPr="00836AAF" w:rsidRDefault="00836AAF" w:rsidP="00836AAF">
      <w:pPr>
        <w:jc w:val="both"/>
        <w:rPr>
          <w:rFonts w:ascii="Times New Roman" w:hAnsi="Times New Roman" w:cs="Times New Roman"/>
          <w:sz w:val="24"/>
          <w:szCs w:val="24"/>
        </w:rPr>
      </w:pPr>
      <w:r w:rsidRPr="00836AAF">
        <w:rPr>
          <w:rFonts w:ascii="Times New Roman" w:hAnsi="Times New Roman" w:cs="Times New Roman"/>
          <w:sz w:val="24"/>
          <w:szCs w:val="24"/>
        </w:rPr>
        <w:t>Ülekaalulisus ja rasvumine on järjest suurenev rahvastiku terviseprobleem kogu maailmas, ka Eestis. 2018. aastal läbi viidud Eesti täiskasvanud rahvastiku tervisekäitumise uuringu andmetel on 40% Eesti meestest ja 26% naistest ülekaalulised ning 21% meestest ja 18% naistest rasvunud.</w:t>
      </w:r>
    </w:p>
    <w:p w14:paraId="70F51DA2" w14:textId="77777777" w:rsidR="00836AAF" w:rsidRPr="00836AAF" w:rsidRDefault="00836AAF" w:rsidP="00836AAF">
      <w:pPr>
        <w:jc w:val="both"/>
        <w:rPr>
          <w:rFonts w:ascii="Times New Roman" w:hAnsi="Times New Roman" w:cs="Times New Roman"/>
          <w:sz w:val="24"/>
          <w:szCs w:val="24"/>
        </w:rPr>
      </w:pPr>
      <w:r w:rsidRPr="00836AAF">
        <w:rPr>
          <w:rFonts w:ascii="Times New Roman" w:hAnsi="Times New Roman" w:cs="Times New Roman"/>
          <w:sz w:val="24"/>
          <w:szCs w:val="24"/>
        </w:rPr>
        <w:t>Aastatel 2013-2015 on Eestis tehtud 500-600 bariaatrilist operatsiooni aastas. Nõudlus teenuse järele on suur, mida näitab ravijärjekorra pikkus (1–1,5 aastat). Väljakujunenud praktika põhjal suunavad patsiente operatsioonile mitmete erialade arstid. Bariaatrilise kirurgia arenguks on vaja ühtset ravistandardit, et tõsta ja ühtlustada ravikvaliteeti ning suurendada patsiendi rahulolu raviga.</w:t>
      </w:r>
    </w:p>
    <w:p w14:paraId="067EC99D" w14:textId="15520725" w:rsidR="00836AAF" w:rsidRPr="00836AAF" w:rsidRDefault="00836AAF" w:rsidP="00836AAF">
      <w:pPr>
        <w:jc w:val="both"/>
        <w:rPr>
          <w:rFonts w:ascii="Times New Roman" w:hAnsi="Times New Roman" w:cs="Times New Roman"/>
          <w:sz w:val="24"/>
          <w:szCs w:val="24"/>
        </w:rPr>
      </w:pPr>
      <w:r w:rsidRPr="00836AAF">
        <w:rPr>
          <w:rFonts w:ascii="Times New Roman" w:hAnsi="Times New Roman" w:cs="Times New Roman"/>
          <w:sz w:val="24"/>
          <w:szCs w:val="24"/>
        </w:rPr>
        <w:t>Kõrgenenud KMI</w:t>
      </w:r>
      <w:r w:rsidR="00304981">
        <w:rPr>
          <w:rFonts w:ascii="Times New Roman" w:hAnsi="Times New Roman" w:cs="Times New Roman"/>
          <w:sz w:val="24"/>
          <w:szCs w:val="24"/>
        </w:rPr>
        <w:t xml:space="preserve"> (kehamassi indeks)</w:t>
      </w:r>
      <w:r w:rsidRPr="00836AAF">
        <w:rPr>
          <w:rFonts w:ascii="Times New Roman" w:hAnsi="Times New Roman" w:cs="Times New Roman"/>
          <w:sz w:val="24"/>
          <w:szCs w:val="24"/>
        </w:rPr>
        <w:t xml:space="preserve"> on peamine riskitegur mitmete mittenakkuslike haiguste tekkimises: </w:t>
      </w:r>
      <w:proofErr w:type="spellStart"/>
      <w:r w:rsidRPr="00836AAF">
        <w:rPr>
          <w:rFonts w:ascii="Times New Roman" w:hAnsi="Times New Roman" w:cs="Times New Roman"/>
          <w:sz w:val="24"/>
          <w:szCs w:val="24"/>
        </w:rPr>
        <w:t>kardiovaskulaarsed</w:t>
      </w:r>
      <w:proofErr w:type="spellEnd"/>
      <w:r w:rsidRPr="00836AAF">
        <w:rPr>
          <w:rFonts w:ascii="Times New Roman" w:hAnsi="Times New Roman" w:cs="Times New Roman"/>
          <w:sz w:val="24"/>
          <w:szCs w:val="24"/>
        </w:rPr>
        <w:t xml:space="preserve"> haigused, II tüüpi diabeet, liigesehaigused ja hingamisteede haigused jne. Aastatega on bariaatriline kirurgia osutunud efektiivseimaks meetodiks rasvtõve ravis. Uuringud on näidanud bariaatrilise kirurgia patsientidel ennetatavate surmade ja kaasuvate haiguste tekke vähenemist, mis omakorda vähendavad tervishoiukulusid.</w:t>
      </w:r>
    </w:p>
    <w:p w14:paraId="3F5D47CA" w14:textId="313F37AD" w:rsidR="00561B09" w:rsidRPr="00652AF2" w:rsidRDefault="00836AAF" w:rsidP="009E379A">
      <w:pPr>
        <w:jc w:val="both"/>
        <w:rPr>
          <w:rFonts w:ascii="Times New Roman" w:hAnsi="Times New Roman" w:cs="Times New Roman"/>
          <w:sz w:val="24"/>
          <w:szCs w:val="24"/>
        </w:rPr>
      </w:pPr>
      <w:r w:rsidRPr="00836AAF">
        <w:rPr>
          <w:rFonts w:ascii="Times New Roman" w:hAnsi="Times New Roman" w:cs="Times New Roman"/>
          <w:sz w:val="24"/>
          <w:szCs w:val="24"/>
        </w:rPr>
        <w:t xml:space="preserve">Ravijuhendi rakendumise tulemusel ühtlustub bariaatrilise kirurgia patsientide </w:t>
      </w:r>
      <w:proofErr w:type="spellStart"/>
      <w:r w:rsidRPr="00836AAF">
        <w:rPr>
          <w:rFonts w:ascii="Times New Roman" w:hAnsi="Times New Roman" w:cs="Times New Roman"/>
          <w:sz w:val="24"/>
          <w:szCs w:val="24"/>
        </w:rPr>
        <w:t>pre</w:t>
      </w:r>
      <w:proofErr w:type="spellEnd"/>
      <w:r w:rsidRPr="00836AAF">
        <w:rPr>
          <w:rFonts w:ascii="Times New Roman" w:hAnsi="Times New Roman" w:cs="Times New Roman"/>
          <w:sz w:val="24"/>
          <w:szCs w:val="24"/>
        </w:rPr>
        <w:t>- ja postoperatiivne käsitlus ning paraneb nende ravi- ja elukvaliteet.</w:t>
      </w:r>
    </w:p>
    <w:p w14:paraId="2D8FBEAC" w14:textId="1E751DAB" w:rsidR="00FB66D7" w:rsidRPr="00652AF2" w:rsidRDefault="00A0627E" w:rsidP="009E379A">
      <w:pPr>
        <w:jc w:val="both"/>
        <w:rPr>
          <w:rFonts w:ascii="Times New Roman" w:hAnsi="Times New Roman" w:cs="Times New Roman"/>
          <w:sz w:val="24"/>
          <w:szCs w:val="24"/>
        </w:rPr>
      </w:pPr>
      <w:r w:rsidRPr="00652AF2">
        <w:rPr>
          <w:rFonts w:ascii="Times New Roman" w:hAnsi="Times New Roman" w:cs="Times New Roman"/>
          <w:sz w:val="24"/>
          <w:szCs w:val="24"/>
        </w:rPr>
        <w:t>Sihtvaliku e</w:t>
      </w:r>
      <w:r w:rsidR="001A2E6C" w:rsidRPr="00652AF2">
        <w:rPr>
          <w:rFonts w:ascii="Times New Roman" w:hAnsi="Times New Roman" w:cs="Times New Roman"/>
          <w:sz w:val="24"/>
          <w:szCs w:val="24"/>
        </w:rPr>
        <w:t xml:space="preserve">esmärgiks on hinnata </w:t>
      </w:r>
      <w:bookmarkStart w:id="6" w:name="_Toc45190785"/>
      <w:bookmarkStart w:id="7" w:name="_Toc47520395"/>
      <w:r w:rsidR="00FB66D7" w:rsidRPr="00652AF2">
        <w:rPr>
          <w:rFonts w:ascii="Times New Roman" w:hAnsi="Times New Roman" w:cs="Times New Roman"/>
          <w:sz w:val="24"/>
          <w:szCs w:val="24"/>
        </w:rPr>
        <w:t xml:space="preserve">ravijuhendi </w:t>
      </w:r>
      <w:r w:rsidR="00836AAF" w:rsidRPr="00836AAF">
        <w:rPr>
          <w:rFonts w:ascii="Times New Roman" w:hAnsi="Times New Roman" w:cs="Times New Roman"/>
          <w:sz w:val="24"/>
          <w:szCs w:val="24"/>
        </w:rPr>
        <w:t>„Bariaatrilise patsiendi käsitlus enne ja pärast kirurgilist sekkumist (RJ-E/12.1-2016)“</w:t>
      </w:r>
      <w:r w:rsidR="00FB66D7" w:rsidRPr="00652AF2">
        <w:rPr>
          <w:rFonts w:ascii="Times New Roman" w:hAnsi="Times New Roman" w:cs="Times New Roman"/>
          <w:sz w:val="24"/>
          <w:szCs w:val="24"/>
        </w:rPr>
        <w:t xml:space="preserve"> soovituste rakendamist</w:t>
      </w:r>
      <w:r w:rsidRPr="00652AF2">
        <w:rPr>
          <w:rFonts w:ascii="Times New Roman" w:hAnsi="Times New Roman" w:cs="Times New Roman"/>
          <w:sz w:val="24"/>
          <w:szCs w:val="24"/>
        </w:rPr>
        <w:t>.</w:t>
      </w:r>
    </w:p>
    <w:p w14:paraId="7347B55D" w14:textId="77777777" w:rsidR="009E379A" w:rsidRPr="00652AF2" w:rsidRDefault="009E379A" w:rsidP="009E379A">
      <w:pPr>
        <w:jc w:val="both"/>
        <w:rPr>
          <w:rFonts w:ascii="Times New Roman" w:hAnsi="Times New Roman" w:cs="Times New Roman"/>
          <w:sz w:val="24"/>
          <w:szCs w:val="24"/>
        </w:rPr>
      </w:pPr>
    </w:p>
    <w:p w14:paraId="0A1974B3" w14:textId="28705FEC" w:rsidR="00F14F9A" w:rsidRPr="0067428C" w:rsidRDefault="001A2E6C" w:rsidP="0067428C">
      <w:pPr>
        <w:pStyle w:val="Heading1"/>
        <w:numPr>
          <w:ilvl w:val="0"/>
          <w:numId w:val="17"/>
        </w:numPr>
        <w:rPr>
          <w:rFonts w:cs="Times New Roman"/>
          <w:szCs w:val="24"/>
        </w:rPr>
      </w:pPr>
      <w:bookmarkStart w:id="8" w:name="_Toc73953148"/>
      <w:r w:rsidRPr="00E937E5">
        <w:rPr>
          <w:rFonts w:cs="Times New Roman"/>
          <w:szCs w:val="24"/>
        </w:rPr>
        <w:t>SIHTVALIK</w:t>
      </w:r>
      <w:r w:rsidR="00DC18DB" w:rsidRPr="0067428C">
        <w:rPr>
          <w:rFonts w:cs="Times New Roman"/>
          <w:szCs w:val="24"/>
        </w:rPr>
        <w:t>U</w:t>
      </w:r>
      <w:r w:rsidRPr="0067428C">
        <w:rPr>
          <w:rFonts w:cs="Times New Roman"/>
          <w:szCs w:val="24"/>
        </w:rPr>
        <w:t xml:space="preserve"> KORRALDUS</w:t>
      </w:r>
      <w:bookmarkEnd w:id="6"/>
      <w:bookmarkEnd w:id="7"/>
      <w:bookmarkEnd w:id="8"/>
    </w:p>
    <w:p w14:paraId="529DF2A0" w14:textId="6C2471B9" w:rsidR="001A2E6C" w:rsidRDefault="001A2E6C">
      <w:pPr>
        <w:pStyle w:val="Heading1"/>
        <w:rPr>
          <w:rFonts w:cs="Times New Roman"/>
          <w:szCs w:val="24"/>
        </w:rPr>
      </w:pPr>
      <w:bookmarkStart w:id="9" w:name="_Toc38266622"/>
      <w:bookmarkStart w:id="10" w:name="_Toc45175675"/>
      <w:bookmarkStart w:id="11" w:name="_Toc45190786"/>
      <w:bookmarkStart w:id="12" w:name="_Toc47520396"/>
      <w:bookmarkStart w:id="13" w:name="_Toc73953149"/>
      <w:r w:rsidRPr="0067428C">
        <w:rPr>
          <w:rFonts w:cs="Times New Roman"/>
          <w:szCs w:val="24"/>
        </w:rPr>
        <w:t>3.1</w:t>
      </w:r>
      <w:r w:rsidR="00105565" w:rsidRPr="0067428C">
        <w:rPr>
          <w:rFonts w:cs="Times New Roman"/>
          <w:szCs w:val="24"/>
        </w:rPr>
        <w:t>.</w:t>
      </w:r>
      <w:r w:rsidRPr="0067428C">
        <w:rPr>
          <w:rFonts w:cs="Times New Roman"/>
          <w:szCs w:val="24"/>
        </w:rPr>
        <w:t xml:space="preserve"> Sihtvalik</w:t>
      </w:r>
      <w:r w:rsidR="00DC18DB" w:rsidRPr="0067428C">
        <w:rPr>
          <w:rFonts w:cs="Times New Roman"/>
          <w:szCs w:val="24"/>
        </w:rPr>
        <w:t>u</w:t>
      </w:r>
      <w:r w:rsidRPr="0067428C">
        <w:rPr>
          <w:rFonts w:cs="Times New Roman"/>
          <w:szCs w:val="24"/>
        </w:rPr>
        <w:t xml:space="preserve"> töörühm</w:t>
      </w:r>
      <w:bookmarkEnd w:id="9"/>
      <w:bookmarkEnd w:id="10"/>
      <w:bookmarkEnd w:id="11"/>
      <w:bookmarkEnd w:id="12"/>
      <w:bookmarkEnd w:id="13"/>
    </w:p>
    <w:p w14:paraId="694F8740" w14:textId="77777777" w:rsidR="00671F41" w:rsidRPr="0077218F" w:rsidRDefault="00671F41" w:rsidP="0067428C">
      <w:pPr>
        <w:pStyle w:val="NoSpacing"/>
      </w:pPr>
    </w:p>
    <w:p w14:paraId="2F8216EA" w14:textId="76395DF5" w:rsidR="00055145" w:rsidRPr="00652AF2" w:rsidRDefault="00105565" w:rsidP="0067428C">
      <w:pPr>
        <w:pStyle w:val="NoSpacing"/>
        <w:jc w:val="both"/>
        <w:rPr>
          <w:rFonts w:ascii="Times New Roman" w:hAnsi="Times New Roman" w:cs="Times New Roman"/>
          <w:sz w:val="24"/>
          <w:szCs w:val="24"/>
        </w:rPr>
      </w:pPr>
      <w:r w:rsidRPr="0077218F">
        <w:rPr>
          <w:rFonts w:ascii="Times New Roman" w:hAnsi="Times New Roman" w:cs="Times New Roman"/>
          <w:sz w:val="24"/>
          <w:szCs w:val="24"/>
        </w:rPr>
        <w:t>Käesoleva si</w:t>
      </w:r>
      <w:r w:rsidRPr="00652AF2">
        <w:rPr>
          <w:rFonts w:ascii="Times New Roman" w:hAnsi="Times New Roman" w:cs="Times New Roman"/>
          <w:sz w:val="24"/>
          <w:szCs w:val="24"/>
        </w:rPr>
        <w:t>htvaliku h</w:t>
      </w:r>
      <w:r w:rsidR="00055145" w:rsidRPr="00652AF2">
        <w:rPr>
          <w:rFonts w:ascii="Times New Roman" w:hAnsi="Times New Roman" w:cs="Times New Roman"/>
          <w:sz w:val="24"/>
          <w:szCs w:val="24"/>
        </w:rPr>
        <w:t xml:space="preserve">indamisekriteeriumite koostamiseks, tulemuste hindamiseks ja jätkutegevuste planeerimiseks kaasati </w:t>
      </w:r>
      <w:r w:rsidR="00836AAF" w:rsidRPr="00836AAF">
        <w:rPr>
          <w:rFonts w:ascii="Times New Roman" w:hAnsi="Times New Roman" w:cs="Times New Roman"/>
          <w:sz w:val="24"/>
          <w:szCs w:val="24"/>
        </w:rPr>
        <w:t xml:space="preserve">Eesti Bariaatrilise ja </w:t>
      </w:r>
      <w:proofErr w:type="spellStart"/>
      <w:r w:rsidR="00836AAF" w:rsidRPr="00836AAF">
        <w:rPr>
          <w:rFonts w:ascii="Times New Roman" w:hAnsi="Times New Roman" w:cs="Times New Roman"/>
          <w:sz w:val="24"/>
          <w:szCs w:val="24"/>
        </w:rPr>
        <w:t>Metaboolse</w:t>
      </w:r>
      <w:proofErr w:type="spellEnd"/>
      <w:r w:rsidR="00836AAF" w:rsidRPr="00836AAF">
        <w:rPr>
          <w:rFonts w:ascii="Times New Roman" w:hAnsi="Times New Roman" w:cs="Times New Roman"/>
          <w:sz w:val="24"/>
          <w:szCs w:val="24"/>
        </w:rPr>
        <w:t xml:space="preserve"> Kirurgia Seltsi juhataja dr. Ilmar Kaur.</w:t>
      </w:r>
    </w:p>
    <w:p w14:paraId="22E245B5" w14:textId="2398CE61" w:rsidR="004A4E85" w:rsidRPr="0067428C" w:rsidRDefault="004A4E85" w:rsidP="00836AAF">
      <w:pPr>
        <w:pStyle w:val="NoSpacing"/>
        <w:jc w:val="both"/>
        <w:rPr>
          <w:rFonts w:ascii="Times New Roman" w:hAnsi="Times New Roman" w:cs="Times New Roman"/>
          <w:sz w:val="24"/>
          <w:szCs w:val="24"/>
        </w:rPr>
      </w:pPr>
    </w:p>
    <w:p w14:paraId="04F073F5" w14:textId="77777777" w:rsidR="00B95BEB" w:rsidRPr="0067428C" w:rsidRDefault="00B95BEB" w:rsidP="0067428C">
      <w:pPr>
        <w:pStyle w:val="NoSpacing"/>
        <w:rPr>
          <w:rFonts w:ascii="Times New Roman" w:hAnsi="Times New Roman" w:cs="Times New Roman"/>
          <w:sz w:val="24"/>
          <w:szCs w:val="24"/>
        </w:rPr>
      </w:pPr>
    </w:p>
    <w:p w14:paraId="10AE0D50" w14:textId="3E354FAA" w:rsidR="001A2E6C" w:rsidRPr="0067428C" w:rsidRDefault="001A2E6C" w:rsidP="0067428C">
      <w:pPr>
        <w:pStyle w:val="NoSpacing"/>
        <w:rPr>
          <w:rFonts w:ascii="Times New Roman" w:hAnsi="Times New Roman" w:cs="Times New Roman"/>
          <w:sz w:val="24"/>
          <w:szCs w:val="24"/>
        </w:rPr>
      </w:pPr>
      <w:r w:rsidRPr="0067428C">
        <w:rPr>
          <w:rFonts w:ascii="Times New Roman" w:hAnsi="Times New Roman" w:cs="Times New Roman"/>
          <w:sz w:val="24"/>
          <w:szCs w:val="24"/>
        </w:rPr>
        <w:t>Sihtvalik</w:t>
      </w:r>
      <w:r w:rsidR="00105565" w:rsidRPr="0067428C">
        <w:rPr>
          <w:rFonts w:ascii="Times New Roman" w:hAnsi="Times New Roman" w:cs="Times New Roman"/>
          <w:sz w:val="24"/>
          <w:szCs w:val="24"/>
        </w:rPr>
        <w:t>u</w:t>
      </w:r>
      <w:r w:rsidRPr="0067428C">
        <w:rPr>
          <w:rFonts w:ascii="Times New Roman" w:hAnsi="Times New Roman" w:cs="Times New Roman"/>
          <w:sz w:val="24"/>
          <w:szCs w:val="24"/>
        </w:rPr>
        <w:t xml:space="preserve"> teostaja</w:t>
      </w:r>
      <w:r w:rsidR="00DC18DB" w:rsidRPr="0067428C">
        <w:rPr>
          <w:rFonts w:ascii="Times New Roman" w:hAnsi="Times New Roman" w:cs="Times New Roman"/>
          <w:sz w:val="24"/>
          <w:szCs w:val="24"/>
        </w:rPr>
        <w:t xml:space="preserve"> oli</w:t>
      </w:r>
      <w:r w:rsidR="00105565" w:rsidRPr="0067428C">
        <w:rPr>
          <w:rFonts w:ascii="Times New Roman" w:hAnsi="Times New Roman" w:cs="Times New Roman"/>
          <w:sz w:val="24"/>
          <w:szCs w:val="24"/>
        </w:rPr>
        <w:t xml:space="preserve"> </w:t>
      </w:r>
      <w:r w:rsidRPr="0067428C">
        <w:rPr>
          <w:rFonts w:ascii="Times New Roman" w:hAnsi="Times New Roman" w:cs="Times New Roman"/>
          <w:sz w:val="24"/>
          <w:szCs w:val="24"/>
        </w:rPr>
        <w:t xml:space="preserve">Eesti haigekassa kvaliteedi </w:t>
      </w:r>
      <w:proofErr w:type="spellStart"/>
      <w:r w:rsidRPr="0067428C">
        <w:rPr>
          <w:rFonts w:ascii="Times New Roman" w:hAnsi="Times New Roman" w:cs="Times New Roman"/>
          <w:sz w:val="24"/>
          <w:szCs w:val="24"/>
        </w:rPr>
        <w:t>edenduse</w:t>
      </w:r>
      <w:proofErr w:type="spellEnd"/>
      <w:r w:rsidRPr="0067428C">
        <w:rPr>
          <w:rFonts w:ascii="Times New Roman" w:hAnsi="Times New Roman" w:cs="Times New Roman"/>
          <w:sz w:val="24"/>
          <w:szCs w:val="24"/>
        </w:rPr>
        <w:t xml:space="preserve"> osakonna </w:t>
      </w:r>
      <w:r w:rsidR="00836AAF">
        <w:rPr>
          <w:rFonts w:ascii="Times New Roman" w:hAnsi="Times New Roman" w:cs="Times New Roman"/>
          <w:sz w:val="24"/>
          <w:szCs w:val="24"/>
        </w:rPr>
        <w:t>usaldusarst Evi Heide</w:t>
      </w:r>
      <w:r w:rsidRPr="0067428C">
        <w:rPr>
          <w:rFonts w:ascii="Times New Roman" w:hAnsi="Times New Roman" w:cs="Times New Roman"/>
          <w:sz w:val="24"/>
          <w:szCs w:val="24"/>
        </w:rPr>
        <w:t>.</w:t>
      </w:r>
    </w:p>
    <w:p w14:paraId="78648E3B" w14:textId="77777777" w:rsidR="00DC18DB" w:rsidRPr="00652AF2" w:rsidRDefault="00DC18DB" w:rsidP="00532DDE">
      <w:pPr>
        <w:pStyle w:val="NoSpacing"/>
        <w:rPr>
          <w:rFonts w:ascii="Times New Roman" w:hAnsi="Times New Roman" w:cs="Times New Roman"/>
          <w:b/>
          <w:bCs/>
          <w:noProof/>
          <w:sz w:val="24"/>
          <w:szCs w:val="24"/>
          <w:lang w:eastAsia="et-EE"/>
        </w:rPr>
      </w:pPr>
    </w:p>
    <w:p w14:paraId="459BC5ED" w14:textId="2D7C2AA1" w:rsidR="00DC18DB" w:rsidRPr="0067428C" w:rsidRDefault="009F45F6" w:rsidP="0067428C">
      <w:pPr>
        <w:pStyle w:val="Heading1"/>
        <w:rPr>
          <w:rFonts w:cs="Times New Roman"/>
          <w:noProof/>
          <w:szCs w:val="24"/>
          <w:lang w:eastAsia="et-EE"/>
        </w:rPr>
      </w:pPr>
      <w:bookmarkStart w:id="14" w:name="_Toc73953150"/>
      <w:r w:rsidRPr="00E937E5">
        <w:rPr>
          <w:rFonts w:cs="Times New Roman"/>
          <w:noProof/>
          <w:szCs w:val="24"/>
          <w:lang w:eastAsia="et-EE"/>
        </w:rPr>
        <w:t xml:space="preserve">3.2. </w:t>
      </w:r>
      <w:r w:rsidR="00DC18DB" w:rsidRPr="0067428C">
        <w:rPr>
          <w:rFonts w:cs="Times New Roman"/>
          <w:noProof/>
          <w:szCs w:val="24"/>
          <w:lang w:eastAsia="et-EE"/>
        </w:rPr>
        <w:t>Valimi moodustamine</w:t>
      </w:r>
      <w:bookmarkEnd w:id="14"/>
    </w:p>
    <w:p w14:paraId="49467D93" w14:textId="77777777" w:rsidR="00DC18DB" w:rsidRPr="00652AF2" w:rsidRDefault="00DC18DB" w:rsidP="00532DDE">
      <w:pPr>
        <w:pStyle w:val="NoSpacing"/>
        <w:rPr>
          <w:rFonts w:ascii="Times New Roman" w:hAnsi="Times New Roman" w:cs="Times New Roman"/>
          <w:noProof/>
          <w:sz w:val="24"/>
          <w:szCs w:val="24"/>
          <w:lang w:eastAsia="et-EE"/>
        </w:rPr>
      </w:pPr>
    </w:p>
    <w:p w14:paraId="25B64DF6" w14:textId="77777777" w:rsidR="00642EA9" w:rsidRPr="00642EA9" w:rsidRDefault="00642EA9" w:rsidP="00642EA9">
      <w:pPr>
        <w:suppressAutoHyphens/>
        <w:spacing w:after="0" w:line="240" w:lineRule="auto"/>
        <w:jc w:val="both"/>
        <w:rPr>
          <w:rFonts w:ascii="Times New Roman" w:eastAsia="Calibri" w:hAnsi="Times New Roman" w:cs="Times New Roman"/>
          <w:sz w:val="24"/>
          <w:szCs w:val="24"/>
          <w:lang w:eastAsia="ar-SA"/>
        </w:rPr>
      </w:pPr>
      <w:r w:rsidRPr="00642EA9">
        <w:rPr>
          <w:rFonts w:ascii="Times New Roman" w:eastAsia="Calibri" w:hAnsi="Times New Roman" w:cs="Times New Roman"/>
          <w:sz w:val="24"/>
          <w:szCs w:val="24"/>
          <w:lang w:eastAsia="ar-SA"/>
        </w:rPr>
        <w:t xml:space="preserve">2019 a esitati haigekassale kokku 419 raviarvet, millel oli märgitud raviteenuse kood 0J2204 (bariaatriline </w:t>
      </w:r>
      <w:proofErr w:type="spellStart"/>
      <w:r w:rsidRPr="00642EA9">
        <w:rPr>
          <w:rFonts w:ascii="Times New Roman" w:eastAsia="Calibri" w:hAnsi="Times New Roman" w:cs="Times New Roman"/>
          <w:sz w:val="24"/>
          <w:szCs w:val="24"/>
          <w:lang w:eastAsia="ar-SA"/>
        </w:rPr>
        <w:t>laparoskoopiline</w:t>
      </w:r>
      <w:proofErr w:type="spellEnd"/>
      <w:r w:rsidRPr="00642EA9">
        <w:rPr>
          <w:rFonts w:ascii="Times New Roman" w:eastAsia="Calibri" w:hAnsi="Times New Roman" w:cs="Times New Roman"/>
          <w:sz w:val="24"/>
          <w:szCs w:val="24"/>
          <w:lang w:eastAsia="ar-SA"/>
        </w:rPr>
        <w:t xml:space="preserve"> maost möödajuhtiv operatsioon ja bariaatriline </w:t>
      </w:r>
      <w:proofErr w:type="spellStart"/>
      <w:r w:rsidRPr="00642EA9">
        <w:rPr>
          <w:rFonts w:ascii="Times New Roman" w:eastAsia="Calibri" w:hAnsi="Times New Roman" w:cs="Times New Roman"/>
          <w:sz w:val="24"/>
          <w:szCs w:val="24"/>
          <w:lang w:eastAsia="ar-SA"/>
        </w:rPr>
        <w:t>laparoskoopiline</w:t>
      </w:r>
      <w:proofErr w:type="spellEnd"/>
      <w:r w:rsidRPr="00642EA9">
        <w:rPr>
          <w:rFonts w:ascii="Times New Roman" w:eastAsia="Calibri" w:hAnsi="Times New Roman" w:cs="Times New Roman"/>
          <w:sz w:val="24"/>
          <w:szCs w:val="24"/>
          <w:lang w:eastAsia="ar-SA"/>
        </w:rPr>
        <w:t xml:space="preserve"> vertikaalne </w:t>
      </w:r>
      <w:proofErr w:type="spellStart"/>
      <w:r w:rsidRPr="00642EA9">
        <w:rPr>
          <w:rFonts w:ascii="Times New Roman" w:eastAsia="Calibri" w:hAnsi="Times New Roman" w:cs="Times New Roman"/>
          <w:sz w:val="24"/>
          <w:szCs w:val="24"/>
          <w:lang w:eastAsia="ar-SA"/>
        </w:rPr>
        <w:t>maoresektsioon</w:t>
      </w:r>
      <w:proofErr w:type="spellEnd"/>
      <w:r w:rsidRPr="00642EA9">
        <w:rPr>
          <w:rFonts w:ascii="Times New Roman" w:eastAsia="Calibri" w:hAnsi="Times New Roman" w:cs="Times New Roman"/>
          <w:sz w:val="24"/>
          <w:szCs w:val="24"/>
          <w:lang w:eastAsia="ar-SA"/>
        </w:rPr>
        <w:t>) ja mis oli valimi koostamise aluseks.</w:t>
      </w:r>
    </w:p>
    <w:p w14:paraId="5DD9A318" w14:textId="35C482E5" w:rsidR="00642EA9" w:rsidRPr="00642EA9" w:rsidRDefault="00642EA9" w:rsidP="00642EA9">
      <w:pPr>
        <w:suppressAutoHyphens/>
        <w:spacing w:after="0" w:line="240" w:lineRule="auto"/>
        <w:jc w:val="both"/>
        <w:rPr>
          <w:rFonts w:ascii="Times New Roman" w:eastAsia="Calibri" w:hAnsi="Times New Roman" w:cs="Times New Roman"/>
          <w:sz w:val="24"/>
          <w:szCs w:val="24"/>
          <w:lang w:eastAsia="ar-SA"/>
        </w:rPr>
      </w:pPr>
      <w:r w:rsidRPr="00642EA9">
        <w:rPr>
          <w:rFonts w:ascii="Times New Roman" w:eastAsia="Calibri" w:hAnsi="Times New Roman" w:cs="Times New Roman"/>
          <w:sz w:val="24"/>
          <w:szCs w:val="24"/>
          <w:lang w:eastAsia="ar-SA"/>
        </w:rPr>
        <w:t>Valim koostati juhuvaliku printsiibil EHK lepingupartneritest bariaatrilise kirurgia teenuse pakkujate ravijuhtudest  01.01.-31.12</w:t>
      </w:r>
      <w:r>
        <w:rPr>
          <w:rFonts w:ascii="Times New Roman" w:eastAsia="Calibri" w:hAnsi="Times New Roman" w:cs="Times New Roman"/>
          <w:sz w:val="24"/>
          <w:szCs w:val="24"/>
          <w:lang w:eastAsia="ar-SA"/>
        </w:rPr>
        <w:t>.2019</w:t>
      </w:r>
    </w:p>
    <w:p w14:paraId="3FACFB63" w14:textId="2757BD97" w:rsidR="001B6558" w:rsidRPr="00652AF2" w:rsidRDefault="00642EA9" w:rsidP="007955D9">
      <w:pPr>
        <w:suppressAutoHyphens/>
        <w:spacing w:after="0" w:line="240" w:lineRule="auto"/>
        <w:jc w:val="both"/>
        <w:rPr>
          <w:rFonts w:ascii="Times New Roman" w:eastAsia="Calibri" w:hAnsi="Times New Roman" w:cs="Times New Roman"/>
          <w:noProof/>
          <w:sz w:val="24"/>
          <w:szCs w:val="24"/>
          <w:lang w:eastAsia="et-EE"/>
        </w:rPr>
      </w:pPr>
      <w:r w:rsidRPr="00642EA9">
        <w:rPr>
          <w:rFonts w:ascii="Times New Roman" w:eastAsia="Calibri" w:hAnsi="Times New Roman" w:cs="Times New Roman"/>
          <w:sz w:val="24"/>
          <w:szCs w:val="24"/>
          <w:lang w:eastAsia="ar-SA"/>
        </w:rPr>
        <w:t>Kokku valimisse 100 ravijuhtu</w:t>
      </w:r>
      <w:r>
        <w:rPr>
          <w:rFonts w:ascii="Times New Roman" w:eastAsia="Calibri" w:hAnsi="Times New Roman" w:cs="Times New Roman"/>
          <w:sz w:val="24"/>
          <w:szCs w:val="24"/>
          <w:lang w:eastAsia="ar-SA"/>
        </w:rPr>
        <w:t xml:space="preserve"> 6 lepingupartnerilt.</w:t>
      </w:r>
    </w:p>
    <w:p w14:paraId="4AFFAB6A" w14:textId="4A452146" w:rsidR="0094076B" w:rsidRPr="00652AF2" w:rsidRDefault="00FB66D7" w:rsidP="0029495A">
      <w:pPr>
        <w:suppressAutoHyphens/>
        <w:spacing w:after="0" w:line="240" w:lineRule="auto"/>
        <w:jc w:val="both"/>
        <w:rPr>
          <w:rFonts w:ascii="Times New Roman" w:eastAsia="Calibri" w:hAnsi="Times New Roman" w:cs="Times New Roman"/>
          <w:sz w:val="24"/>
          <w:szCs w:val="24"/>
          <w:lang w:eastAsia="ar-SA"/>
        </w:rPr>
      </w:pPr>
      <w:r w:rsidRPr="00652AF2">
        <w:rPr>
          <w:rFonts w:ascii="Times New Roman" w:eastAsia="Calibri" w:hAnsi="Times New Roman" w:cs="Times New Roman"/>
          <w:sz w:val="24"/>
          <w:szCs w:val="24"/>
          <w:lang w:eastAsia="ar-SA"/>
        </w:rPr>
        <w:t>Hinnatavad ravijuhud haarati valimisse juhuvaliku</w:t>
      </w:r>
      <w:r w:rsidR="007955D9" w:rsidRPr="00652AF2">
        <w:rPr>
          <w:rFonts w:ascii="Times New Roman" w:eastAsia="Calibri" w:hAnsi="Times New Roman" w:cs="Times New Roman"/>
          <w:sz w:val="24"/>
          <w:szCs w:val="24"/>
          <w:lang w:eastAsia="ar-SA"/>
        </w:rPr>
        <w:t xml:space="preserve"> meetodil</w:t>
      </w:r>
      <w:r w:rsidR="00642EA9">
        <w:rPr>
          <w:rFonts w:ascii="Times New Roman" w:eastAsia="Calibri" w:hAnsi="Times New Roman" w:cs="Times New Roman"/>
          <w:sz w:val="24"/>
          <w:szCs w:val="24"/>
          <w:lang w:eastAsia="ar-SA"/>
        </w:rPr>
        <w:t>.</w:t>
      </w:r>
      <w:r w:rsidR="00046BE7" w:rsidRPr="00652AF2">
        <w:rPr>
          <w:rFonts w:ascii="Times New Roman" w:eastAsia="Calibri" w:hAnsi="Times New Roman" w:cs="Times New Roman"/>
          <w:sz w:val="24"/>
          <w:szCs w:val="24"/>
          <w:lang w:eastAsia="ar-SA"/>
        </w:rPr>
        <w:t xml:space="preserve"> </w:t>
      </w:r>
    </w:p>
    <w:p w14:paraId="1F17513E" w14:textId="397D95E7" w:rsidR="003734E0" w:rsidRDefault="00642EA9" w:rsidP="0029495A">
      <w:pPr>
        <w:suppressAutoHyphens/>
        <w:spacing w:after="0" w:line="240" w:lineRule="auto"/>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Sihtvaliku periood 01.0.2018- 31.12.2020</w:t>
      </w:r>
    </w:p>
    <w:p w14:paraId="3B045526" w14:textId="7363DA56" w:rsidR="009E679F" w:rsidRDefault="009E679F" w:rsidP="009E679F">
      <w:pPr>
        <w:suppressAutoHyphens/>
        <w:autoSpaceDN w:val="0"/>
        <w:spacing w:after="0" w:line="240" w:lineRule="auto"/>
        <w:jc w:val="both"/>
        <w:textAlignment w:val="baseline"/>
        <w:rPr>
          <w:rFonts w:ascii="Times New Roman" w:eastAsia="Calibri" w:hAnsi="Times New Roman" w:cs="Times New Roman"/>
          <w:sz w:val="24"/>
          <w:szCs w:val="24"/>
          <w:lang w:eastAsia="et-EE"/>
        </w:rPr>
      </w:pPr>
    </w:p>
    <w:p w14:paraId="4FDFC675" w14:textId="77777777" w:rsidR="0094076B" w:rsidRPr="00652AF2" w:rsidRDefault="0094076B" w:rsidP="00FB66D7">
      <w:pPr>
        <w:suppressAutoHyphens/>
        <w:spacing w:after="0" w:line="240" w:lineRule="auto"/>
        <w:rPr>
          <w:rFonts w:ascii="Times New Roman" w:eastAsia="Calibri" w:hAnsi="Times New Roman" w:cs="Times New Roman"/>
          <w:noProof/>
          <w:sz w:val="24"/>
          <w:szCs w:val="24"/>
          <w:lang w:eastAsia="et-EE"/>
        </w:rPr>
      </w:pPr>
    </w:p>
    <w:p w14:paraId="78F31B70" w14:textId="6F21B28C" w:rsidR="00C57607" w:rsidRDefault="00F14F9A" w:rsidP="00C57607">
      <w:pPr>
        <w:pStyle w:val="Heading1"/>
        <w:numPr>
          <w:ilvl w:val="0"/>
          <w:numId w:val="17"/>
        </w:numPr>
        <w:rPr>
          <w:rFonts w:eastAsia="Calibri" w:cs="Times New Roman"/>
          <w:noProof/>
          <w:szCs w:val="24"/>
          <w:lang w:eastAsia="et-EE"/>
        </w:rPr>
      </w:pPr>
      <w:bookmarkStart w:id="15" w:name="_Toc73953151"/>
      <w:r w:rsidRPr="00E937E5">
        <w:rPr>
          <w:rFonts w:eastAsia="Calibri" w:cs="Times New Roman"/>
          <w:noProof/>
          <w:szCs w:val="24"/>
          <w:lang w:eastAsia="et-EE"/>
        </w:rPr>
        <w:t>H</w:t>
      </w:r>
      <w:r w:rsidR="00A06E09" w:rsidRPr="00E937E5">
        <w:rPr>
          <w:rFonts w:eastAsia="Calibri" w:cs="Times New Roman"/>
          <w:noProof/>
          <w:szCs w:val="24"/>
          <w:lang w:eastAsia="et-EE"/>
        </w:rPr>
        <w:t>INDAMISE TULEMUSED</w:t>
      </w:r>
      <w:bookmarkEnd w:id="15"/>
    </w:p>
    <w:p w14:paraId="3745615F" w14:textId="77777777" w:rsidR="00C57607" w:rsidRPr="0067428C" w:rsidRDefault="00C57607" w:rsidP="0067428C">
      <w:pPr>
        <w:rPr>
          <w:lang w:eastAsia="et-EE"/>
        </w:rPr>
      </w:pPr>
    </w:p>
    <w:p w14:paraId="46A69844" w14:textId="43497590" w:rsidR="00F14F9A" w:rsidRPr="0067428C" w:rsidRDefault="00F14F9A" w:rsidP="0067428C">
      <w:pPr>
        <w:pStyle w:val="Heading1"/>
        <w:rPr>
          <w:rFonts w:eastAsia="Calibri" w:cs="Times New Roman"/>
          <w:noProof/>
          <w:szCs w:val="24"/>
          <w:lang w:eastAsia="et-EE"/>
        </w:rPr>
      </w:pPr>
      <w:bookmarkStart w:id="16" w:name="_Toc73953152"/>
      <w:r w:rsidRPr="0067428C">
        <w:rPr>
          <w:rFonts w:eastAsia="Calibri" w:cs="Times New Roman"/>
          <w:noProof/>
          <w:szCs w:val="24"/>
          <w:lang w:eastAsia="et-EE"/>
        </w:rPr>
        <w:t xml:space="preserve">4.1. </w:t>
      </w:r>
      <w:r w:rsidR="00642EA9">
        <w:rPr>
          <w:rFonts w:eastAsia="Calibri" w:cs="Times New Roman"/>
          <w:noProof/>
          <w:szCs w:val="24"/>
          <w:lang w:eastAsia="et-EE"/>
        </w:rPr>
        <w:t>Ravidokumentide vormistamine</w:t>
      </w:r>
      <w:bookmarkEnd w:id="16"/>
    </w:p>
    <w:p w14:paraId="70191EB6" w14:textId="77777777" w:rsidR="00E937E5" w:rsidRDefault="00E937E5" w:rsidP="001B4D46">
      <w:pPr>
        <w:suppressAutoHyphens/>
        <w:spacing w:after="0" w:line="240" w:lineRule="auto"/>
        <w:jc w:val="both"/>
        <w:rPr>
          <w:rFonts w:ascii="Times New Roman" w:eastAsia="Calibri" w:hAnsi="Times New Roman" w:cs="Times New Roman"/>
          <w:noProof/>
          <w:sz w:val="24"/>
          <w:szCs w:val="24"/>
          <w:lang w:eastAsia="et-EE"/>
        </w:rPr>
      </w:pPr>
    </w:p>
    <w:p w14:paraId="75F91C59" w14:textId="74EE6D00" w:rsidR="006E3540" w:rsidRPr="00652AF2" w:rsidRDefault="00642EA9" w:rsidP="001B4D46">
      <w:pPr>
        <w:suppressAutoHyphens/>
        <w:spacing w:after="0" w:line="240" w:lineRule="auto"/>
        <w:jc w:val="both"/>
        <w:rPr>
          <w:rFonts w:ascii="Times New Roman" w:eastAsia="Calibri" w:hAnsi="Times New Roman" w:cs="Times New Roman"/>
          <w:noProof/>
          <w:sz w:val="24"/>
          <w:szCs w:val="24"/>
          <w:lang w:eastAsia="et-EE"/>
        </w:rPr>
      </w:pPr>
      <w:r w:rsidRPr="00642EA9">
        <w:rPr>
          <w:rFonts w:ascii="Times New Roman" w:eastAsia="Calibri" w:hAnsi="Times New Roman" w:cs="Times New Roman"/>
          <w:noProof/>
          <w:sz w:val="24"/>
          <w:szCs w:val="24"/>
          <w:lang w:eastAsia="et-EE"/>
        </w:rPr>
        <w:t>Hindamisel lähtuti „Tervishoiuteenuse osutamise dokumenteerimise ning nende dokumentide säilitamise tingimused ja kord“ ja „Kindlustatud isikult tasu maksmise kohustuse Eesti Haigekassa poolt ülevõtmise kord ja tervishoiuteenuse osutajatele makstava tasu arvutamise metoodikast“. Ravidokumendid vastasid määrustele.</w:t>
      </w:r>
    </w:p>
    <w:p w14:paraId="62F7E45F" w14:textId="6830468D" w:rsidR="00BB1542" w:rsidRPr="00C57607" w:rsidRDefault="00F14F9A" w:rsidP="0067428C">
      <w:pPr>
        <w:pStyle w:val="Heading1"/>
        <w:rPr>
          <w:rFonts w:eastAsia="Calibri"/>
          <w:noProof/>
          <w:lang w:eastAsia="et-EE"/>
        </w:rPr>
      </w:pPr>
      <w:bookmarkStart w:id="17" w:name="_Toc73953153"/>
      <w:r w:rsidRPr="00C57607">
        <w:rPr>
          <w:rFonts w:eastAsia="Calibri"/>
          <w:noProof/>
          <w:lang w:eastAsia="et-EE"/>
        </w:rPr>
        <w:t>4.</w:t>
      </w:r>
      <w:r w:rsidR="00642EA9">
        <w:rPr>
          <w:rFonts w:eastAsia="Calibri"/>
          <w:noProof/>
          <w:lang w:eastAsia="et-EE"/>
        </w:rPr>
        <w:t xml:space="preserve">2. </w:t>
      </w:r>
      <w:r w:rsidR="00642EA9" w:rsidRPr="00642EA9">
        <w:rPr>
          <w:rFonts w:eastAsia="Calibri"/>
          <w:noProof/>
          <w:lang w:eastAsia="et-EE"/>
        </w:rPr>
        <w:t>Ravijuhendi soovituste hindamine</w:t>
      </w:r>
      <w:bookmarkEnd w:id="17"/>
    </w:p>
    <w:p w14:paraId="6475D21A" w14:textId="77777777" w:rsidR="00E937E5" w:rsidRPr="00C57607" w:rsidRDefault="00E937E5" w:rsidP="0067428C">
      <w:pPr>
        <w:pStyle w:val="NoSpacing"/>
        <w:rPr>
          <w:rFonts w:ascii="Times New Roman" w:hAnsi="Times New Roman" w:cs="Times New Roman"/>
          <w:noProof/>
          <w:sz w:val="24"/>
          <w:szCs w:val="24"/>
          <w:lang w:eastAsia="et-EE"/>
        </w:rPr>
      </w:pPr>
    </w:p>
    <w:p w14:paraId="022AB7E5" w14:textId="780BD665" w:rsidR="004B7A9B" w:rsidRDefault="00642EA9" w:rsidP="002171DB">
      <w:pPr>
        <w:suppressAutoHyphens/>
        <w:spacing w:after="0" w:line="240" w:lineRule="auto"/>
        <w:jc w:val="both"/>
        <w:rPr>
          <w:rFonts w:ascii="Times New Roman" w:eastAsia="Calibri" w:hAnsi="Times New Roman" w:cs="Times New Roman"/>
          <w:noProof/>
          <w:sz w:val="24"/>
          <w:szCs w:val="24"/>
          <w:lang w:eastAsia="et-EE"/>
        </w:rPr>
      </w:pPr>
      <w:r w:rsidRPr="00642EA9">
        <w:rPr>
          <w:rFonts w:ascii="Times New Roman" w:eastAsia="Calibri" w:hAnsi="Times New Roman" w:cs="Times New Roman"/>
          <w:noProof/>
          <w:sz w:val="24"/>
          <w:szCs w:val="24"/>
          <w:lang w:eastAsia="et-EE"/>
        </w:rPr>
        <w:t>Hinnati ravijuhendi soovitusi nr 1, 2, 3, 4, 6, 10, 12, 14, 18, 21 ja ei hinnatud soovitusi nr 5, 7, 8, 9, 11, 13, 15, 16, 17, 19, 20, 22, 23.</w:t>
      </w:r>
    </w:p>
    <w:p w14:paraId="2CB91B6C" w14:textId="5EE42956" w:rsidR="001B7EB4" w:rsidRPr="0067428C" w:rsidRDefault="00A55AD3" w:rsidP="0067428C">
      <w:pPr>
        <w:pStyle w:val="Heading1"/>
        <w:rPr>
          <w:rFonts w:eastAsia="Calibri"/>
          <w:noProof/>
          <w:lang w:eastAsia="et-EE"/>
        </w:rPr>
      </w:pPr>
      <w:bookmarkStart w:id="18" w:name="_Toc73953154"/>
      <w:r w:rsidRPr="0077218F">
        <w:rPr>
          <w:rFonts w:eastAsia="Calibri" w:cs="Times New Roman"/>
          <w:noProof/>
          <w:szCs w:val="24"/>
          <w:lang w:eastAsia="et-EE"/>
        </w:rPr>
        <w:t>4.</w:t>
      </w:r>
      <w:r w:rsidR="00642EA9">
        <w:rPr>
          <w:rFonts w:eastAsia="Calibri" w:cs="Times New Roman"/>
          <w:noProof/>
          <w:szCs w:val="24"/>
          <w:lang w:eastAsia="et-EE"/>
        </w:rPr>
        <w:t xml:space="preserve">3. </w:t>
      </w:r>
      <w:r w:rsidR="00642EA9" w:rsidRPr="00642EA9">
        <w:rPr>
          <w:rFonts w:eastAsia="Calibri" w:cs="Times New Roman"/>
          <w:noProof/>
          <w:szCs w:val="24"/>
          <w:lang w:eastAsia="et-EE"/>
        </w:rPr>
        <w:t>Kirurgilise ravi vajalikkus (lähtuti patsiendi 1. visiidist, dgn E66.)</w:t>
      </w:r>
      <w:bookmarkEnd w:id="18"/>
    </w:p>
    <w:p w14:paraId="4D7B2426" w14:textId="77777777" w:rsidR="00642EA9" w:rsidRPr="00642EA9" w:rsidRDefault="00642EA9" w:rsidP="00642EA9">
      <w:pPr>
        <w:suppressAutoHyphens/>
        <w:spacing w:after="0" w:line="240" w:lineRule="auto"/>
        <w:jc w:val="both"/>
        <w:rPr>
          <w:rFonts w:ascii="Times New Roman" w:eastAsia="Times New Roman" w:hAnsi="Times New Roman" w:cs="Times New Roman"/>
          <w:i/>
          <w:iCs/>
          <w:sz w:val="24"/>
          <w:szCs w:val="24"/>
          <w:lang w:eastAsia="ar-SA"/>
        </w:rPr>
      </w:pPr>
      <w:r w:rsidRPr="00642EA9">
        <w:rPr>
          <w:rFonts w:ascii="Times New Roman" w:eastAsia="Times New Roman" w:hAnsi="Times New Roman" w:cs="Times New Roman"/>
          <w:b/>
          <w:bCs/>
          <w:i/>
          <w:iCs/>
          <w:sz w:val="24"/>
          <w:szCs w:val="24"/>
          <w:lang w:eastAsia="ar-SA"/>
        </w:rPr>
        <w:t>Ravijuhendi soovitus 1</w:t>
      </w:r>
      <w:r w:rsidRPr="00642EA9">
        <w:rPr>
          <w:rFonts w:ascii="Times New Roman" w:eastAsia="Times New Roman" w:hAnsi="Times New Roman" w:cs="Times New Roman"/>
          <w:sz w:val="24"/>
          <w:szCs w:val="24"/>
          <w:lang w:eastAsia="ar-SA"/>
        </w:rPr>
        <w:t xml:space="preserve">: </w:t>
      </w:r>
      <w:r w:rsidRPr="00642EA9">
        <w:rPr>
          <w:rFonts w:ascii="Times New Roman" w:eastAsia="Times New Roman" w:hAnsi="Times New Roman" w:cs="Times New Roman"/>
          <w:i/>
          <w:iCs/>
          <w:sz w:val="24"/>
          <w:szCs w:val="24"/>
          <w:lang w:eastAsia="ar-SA"/>
        </w:rPr>
        <w:t xml:space="preserve">Kaaluge kirurgilise ravi vajadust täiskasvanud inimesel kehamassiindeksiga vähemalt 35, kellel esinevad rasvumisega seotud kaasuvad haigused (II tüüpi diabeet, isheemiatõbi, hüpertooniatõbi, </w:t>
      </w:r>
      <w:proofErr w:type="spellStart"/>
      <w:r w:rsidRPr="00642EA9">
        <w:rPr>
          <w:rFonts w:ascii="Times New Roman" w:eastAsia="Times New Roman" w:hAnsi="Times New Roman" w:cs="Times New Roman"/>
          <w:i/>
          <w:iCs/>
          <w:sz w:val="24"/>
          <w:szCs w:val="24"/>
          <w:lang w:eastAsia="ar-SA"/>
        </w:rPr>
        <w:t>hüperlipideemia</w:t>
      </w:r>
      <w:proofErr w:type="spellEnd"/>
      <w:r w:rsidRPr="00642EA9">
        <w:rPr>
          <w:rFonts w:ascii="Times New Roman" w:eastAsia="Times New Roman" w:hAnsi="Times New Roman" w:cs="Times New Roman"/>
          <w:i/>
          <w:iCs/>
          <w:sz w:val="24"/>
          <w:szCs w:val="24"/>
          <w:lang w:eastAsia="ar-SA"/>
        </w:rPr>
        <w:t xml:space="preserve">, obstruktiivne </w:t>
      </w:r>
      <w:proofErr w:type="spellStart"/>
      <w:r w:rsidRPr="00642EA9">
        <w:rPr>
          <w:rFonts w:ascii="Times New Roman" w:eastAsia="Times New Roman" w:hAnsi="Times New Roman" w:cs="Times New Roman"/>
          <w:i/>
          <w:iCs/>
          <w:sz w:val="24"/>
          <w:szCs w:val="24"/>
          <w:lang w:eastAsia="ar-SA"/>
        </w:rPr>
        <w:t>uneapnoe</w:t>
      </w:r>
      <w:proofErr w:type="spellEnd"/>
      <w:r w:rsidRPr="00642EA9">
        <w:rPr>
          <w:rFonts w:ascii="Times New Roman" w:eastAsia="Times New Roman" w:hAnsi="Times New Roman" w:cs="Times New Roman"/>
          <w:i/>
          <w:iCs/>
          <w:sz w:val="24"/>
          <w:szCs w:val="24"/>
          <w:lang w:eastAsia="ar-SA"/>
        </w:rPr>
        <w:t xml:space="preserve">, </w:t>
      </w:r>
      <w:proofErr w:type="spellStart"/>
      <w:r w:rsidRPr="00642EA9">
        <w:rPr>
          <w:rFonts w:ascii="Times New Roman" w:eastAsia="Times New Roman" w:hAnsi="Times New Roman" w:cs="Times New Roman"/>
          <w:i/>
          <w:iCs/>
          <w:sz w:val="24"/>
          <w:szCs w:val="24"/>
          <w:lang w:eastAsia="ar-SA"/>
        </w:rPr>
        <w:t>osteoartriit</w:t>
      </w:r>
      <w:proofErr w:type="spellEnd"/>
      <w:r w:rsidRPr="00642EA9">
        <w:rPr>
          <w:rFonts w:ascii="Times New Roman" w:eastAsia="Times New Roman" w:hAnsi="Times New Roman" w:cs="Times New Roman"/>
          <w:i/>
          <w:iCs/>
          <w:sz w:val="24"/>
          <w:szCs w:val="24"/>
          <w:lang w:eastAsia="ar-SA"/>
        </w:rPr>
        <w:t xml:space="preserve">, infarkti- või insuldijärgne seisund, </w:t>
      </w:r>
      <w:proofErr w:type="spellStart"/>
      <w:r w:rsidRPr="00642EA9">
        <w:rPr>
          <w:rFonts w:ascii="Times New Roman" w:eastAsia="Times New Roman" w:hAnsi="Times New Roman" w:cs="Times New Roman"/>
          <w:i/>
          <w:iCs/>
          <w:sz w:val="24"/>
          <w:szCs w:val="24"/>
          <w:lang w:eastAsia="ar-SA"/>
        </w:rPr>
        <w:t>polütsüstiliste</w:t>
      </w:r>
      <w:proofErr w:type="spellEnd"/>
      <w:r w:rsidRPr="00642EA9">
        <w:rPr>
          <w:rFonts w:ascii="Times New Roman" w:eastAsia="Times New Roman" w:hAnsi="Times New Roman" w:cs="Times New Roman"/>
          <w:i/>
          <w:iCs/>
          <w:sz w:val="24"/>
          <w:szCs w:val="24"/>
          <w:lang w:eastAsia="ar-SA"/>
        </w:rPr>
        <w:t xml:space="preserve"> munasarjade sündroom), või inimestel kehamassi indeksiga üle 40.</w:t>
      </w:r>
    </w:p>
    <w:tbl>
      <w:tblPr>
        <w:tblStyle w:val="TableGrid"/>
        <w:tblW w:w="0" w:type="auto"/>
        <w:tblLook w:val="04A0" w:firstRow="1" w:lastRow="0" w:firstColumn="1" w:lastColumn="0" w:noHBand="0" w:noVBand="1"/>
      </w:tblPr>
      <w:tblGrid>
        <w:gridCol w:w="4531"/>
        <w:gridCol w:w="4531"/>
      </w:tblGrid>
      <w:tr w:rsidR="00642EA9" w14:paraId="2F90D23E" w14:textId="77777777" w:rsidTr="00642EA9">
        <w:tc>
          <w:tcPr>
            <w:tcW w:w="4531" w:type="dxa"/>
          </w:tcPr>
          <w:p w14:paraId="318909E2" w14:textId="6814FD90" w:rsidR="00642EA9" w:rsidRDefault="00642EA9"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KMI&gt; 40</w:t>
            </w:r>
          </w:p>
        </w:tc>
        <w:tc>
          <w:tcPr>
            <w:tcW w:w="4531" w:type="dxa"/>
          </w:tcPr>
          <w:p w14:paraId="714CEF9A" w14:textId="3E9C67C3" w:rsidR="00642EA9"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76</w:t>
            </w:r>
          </w:p>
        </w:tc>
      </w:tr>
      <w:tr w:rsidR="00642EA9" w14:paraId="2AA2F04A" w14:textId="77777777" w:rsidTr="00642EA9">
        <w:tc>
          <w:tcPr>
            <w:tcW w:w="4531" w:type="dxa"/>
          </w:tcPr>
          <w:p w14:paraId="2CBE06C6" w14:textId="2CF53A8D" w:rsidR="00642EA9" w:rsidRDefault="00642EA9"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KMI&gt;35 +kh</w:t>
            </w:r>
          </w:p>
        </w:tc>
        <w:tc>
          <w:tcPr>
            <w:tcW w:w="4531" w:type="dxa"/>
          </w:tcPr>
          <w:p w14:paraId="111696C6" w14:textId="340FCC93" w:rsidR="00642EA9"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24</w:t>
            </w:r>
          </w:p>
        </w:tc>
      </w:tr>
      <w:tr w:rsidR="00642EA9" w14:paraId="1A152AB6" w14:textId="77777777" w:rsidTr="00642EA9">
        <w:tc>
          <w:tcPr>
            <w:tcW w:w="4531" w:type="dxa"/>
          </w:tcPr>
          <w:p w14:paraId="042BC1BC" w14:textId="206FFCE3" w:rsidR="00642EA9"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1DB3E998" w14:textId="5F03435F" w:rsidR="00642EA9"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1CAA9D6E" w14:textId="7AFB5A20" w:rsidR="000803D9" w:rsidRDefault="000803D9" w:rsidP="00DB07D8">
      <w:pPr>
        <w:suppressAutoHyphens/>
        <w:spacing w:after="0" w:line="240" w:lineRule="auto"/>
        <w:jc w:val="both"/>
        <w:rPr>
          <w:rFonts w:ascii="Times New Roman" w:eastAsia="Calibri" w:hAnsi="Times New Roman" w:cs="Times New Roman"/>
          <w:noProof/>
          <w:sz w:val="24"/>
          <w:szCs w:val="24"/>
          <w:lang w:eastAsia="et-EE"/>
        </w:rPr>
      </w:pPr>
    </w:p>
    <w:p w14:paraId="1DA016E9" w14:textId="77777777" w:rsidR="0034245E" w:rsidRPr="0034245E" w:rsidRDefault="0034245E" w:rsidP="0034245E">
      <w:pPr>
        <w:suppressAutoHyphens/>
        <w:spacing w:after="0" w:line="240" w:lineRule="auto"/>
        <w:jc w:val="both"/>
        <w:rPr>
          <w:rFonts w:ascii="Times New Roman" w:eastAsia="Times New Roman" w:hAnsi="Times New Roman" w:cs="Times New Roman"/>
          <w:sz w:val="24"/>
          <w:szCs w:val="24"/>
          <w:lang w:eastAsia="ar-SA"/>
        </w:rPr>
      </w:pPr>
      <w:r w:rsidRPr="0034245E">
        <w:rPr>
          <w:rFonts w:ascii="Times New Roman" w:eastAsia="Times New Roman" w:hAnsi="Times New Roman" w:cs="Times New Roman"/>
          <w:sz w:val="24"/>
          <w:szCs w:val="24"/>
          <w:lang w:eastAsia="ar-SA"/>
        </w:rPr>
        <w:t>76% patsientidest olid KMI&gt; 40 ja 24% patsientidest oli KMI&gt; 35 ning esinesid kaasuvad haigused. Kõikidel juhtudel raviasutused järgisid ravijuhendi soovitust.</w:t>
      </w:r>
    </w:p>
    <w:p w14:paraId="17BD64CE" w14:textId="30F10FA3" w:rsidR="0034245E" w:rsidRDefault="0034245E" w:rsidP="00DB07D8">
      <w:pPr>
        <w:suppressAutoHyphens/>
        <w:spacing w:after="0" w:line="240" w:lineRule="auto"/>
        <w:jc w:val="both"/>
        <w:rPr>
          <w:rFonts w:ascii="Times New Roman" w:eastAsia="Calibri" w:hAnsi="Times New Roman" w:cs="Times New Roman"/>
          <w:noProof/>
          <w:sz w:val="24"/>
          <w:szCs w:val="24"/>
          <w:lang w:eastAsia="et-EE"/>
        </w:rPr>
      </w:pPr>
    </w:p>
    <w:p w14:paraId="1311A413" w14:textId="77777777" w:rsidR="0034245E" w:rsidRPr="0034245E" w:rsidRDefault="0034245E" w:rsidP="0034245E">
      <w:pPr>
        <w:suppressAutoHyphens/>
        <w:spacing w:after="0" w:line="240" w:lineRule="auto"/>
        <w:jc w:val="both"/>
        <w:rPr>
          <w:rFonts w:ascii="Times New Roman" w:eastAsia="Times New Roman" w:hAnsi="Times New Roman" w:cs="Times New Roman"/>
          <w:i/>
          <w:iCs/>
          <w:sz w:val="24"/>
          <w:szCs w:val="24"/>
          <w:lang w:eastAsia="ar-SA"/>
        </w:rPr>
      </w:pPr>
      <w:r w:rsidRPr="0034245E">
        <w:rPr>
          <w:rFonts w:ascii="Times New Roman" w:eastAsia="Times New Roman" w:hAnsi="Times New Roman" w:cs="Times New Roman"/>
          <w:b/>
          <w:bCs/>
          <w:i/>
          <w:iCs/>
          <w:sz w:val="24"/>
          <w:szCs w:val="24"/>
          <w:lang w:eastAsia="ar-SA"/>
        </w:rPr>
        <w:t xml:space="preserve">Ravijuhendi soovitus 2: </w:t>
      </w:r>
      <w:r w:rsidRPr="0034245E">
        <w:rPr>
          <w:rFonts w:ascii="Times New Roman" w:eastAsia="Times New Roman" w:hAnsi="Times New Roman" w:cs="Times New Roman"/>
          <w:i/>
          <w:iCs/>
          <w:sz w:val="24"/>
          <w:szCs w:val="24"/>
          <w:lang w:eastAsia="ar-SA"/>
        </w:rPr>
        <w:t>Valige sobiv operatsioonimeetod iga konkreetse patsiendi jaoks.</w:t>
      </w:r>
    </w:p>
    <w:tbl>
      <w:tblPr>
        <w:tblStyle w:val="TableGrid"/>
        <w:tblW w:w="0" w:type="auto"/>
        <w:tblLook w:val="04A0" w:firstRow="1" w:lastRow="0" w:firstColumn="1" w:lastColumn="0" w:noHBand="0" w:noVBand="1"/>
      </w:tblPr>
      <w:tblGrid>
        <w:gridCol w:w="4531"/>
        <w:gridCol w:w="4531"/>
      </w:tblGrid>
      <w:tr w:rsidR="0034245E" w14:paraId="551E09B4" w14:textId="77777777" w:rsidTr="0034245E">
        <w:tc>
          <w:tcPr>
            <w:tcW w:w="4531" w:type="dxa"/>
          </w:tcPr>
          <w:p w14:paraId="019E3FDB" w14:textId="099C71A1" w:rsidR="0034245E" w:rsidRDefault="0034245E" w:rsidP="00DB07D8">
            <w:pPr>
              <w:suppressAutoHyphens/>
              <w:jc w:val="both"/>
              <w:rPr>
                <w:rFonts w:ascii="Times New Roman" w:eastAsia="Calibri" w:hAnsi="Times New Roman" w:cs="Times New Roman"/>
                <w:noProof/>
                <w:sz w:val="24"/>
                <w:szCs w:val="24"/>
                <w:lang w:eastAsia="et-EE"/>
              </w:rPr>
            </w:pPr>
            <w:bookmarkStart w:id="19" w:name="_Hlk73951363"/>
            <w:r>
              <w:rPr>
                <w:rFonts w:ascii="Times New Roman" w:eastAsia="Calibri" w:hAnsi="Times New Roman" w:cs="Times New Roman"/>
                <w:noProof/>
                <w:sz w:val="24"/>
                <w:szCs w:val="24"/>
                <w:lang w:eastAsia="et-EE"/>
              </w:rPr>
              <w:t>Bypass</w:t>
            </w:r>
          </w:p>
        </w:tc>
        <w:tc>
          <w:tcPr>
            <w:tcW w:w="4531" w:type="dxa"/>
          </w:tcPr>
          <w:p w14:paraId="2F045AD9" w14:textId="5C40FE5C" w:rsidR="0034245E"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54</w:t>
            </w:r>
          </w:p>
        </w:tc>
      </w:tr>
      <w:tr w:rsidR="0034245E" w14:paraId="2D48B12F" w14:textId="77777777" w:rsidTr="0034245E">
        <w:tc>
          <w:tcPr>
            <w:tcW w:w="4531" w:type="dxa"/>
          </w:tcPr>
          <w:p w14:paraId="370EBA41" w14:textId="5B4CDDBB" w:rsidR="0034245E"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Sleeve</w:t>
            </w:r>
          </w:p>
        </w:tc>
        <w:tc>
          <w:tcPr>
            <w:tcW w:w="4531" w:type="dxa"/>
          </w:tcPr>
          <w:p w14:paraId="4B0C2DDF" w14:textId="545B42D2" w:rsidR="0034245E"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46</w:t>
            </w:r>
          </w:p>
        </w:tc>
      </w:tr>
      <w:tr w:rsidR="0034245E" w14:paraId="38BD9DB0" w14:textId="77777777" w:rsidTr="0034245E">
        <w:tc>
          <w:tcPr>
            <w:tcW w:w="4531" w:type="dxa"/>
          </w:tcPr>
          <w:p w14:paraId="1981752D" w14:textId="03456729" w:rsidR="0034245E"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1678F0E1" w14:textId="348AEC3B" w:rsidR="0034245E" w:rsidRDefault="0034245E" w:rsidP="00DB07D8">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57216C80" w14:textId="4020842E" w:rsidR="0034245E" w:rsidRPr="0034245E" w:rsidRDefault="0034245E" w:rsidP="0034245E">
      <w:pPr>
        <w:keepNext/>
        <w:tabs>
          <w:tab w:val="left" w:pos="709"/>
        </w:tabs>
        <w:spacing w:before="120" w:after="0" w:line="240" w:lineRule="auto"/>
        <w:jc w:val="both"/>
        <w:outlineLvl w:val="1"/>
        <w:rPr>
          <w:rFonts w:ascii="Times New Roman" w:eastAsia="Times New Roman" w:hAnsi="Times New Roman" w:cs="Times New Roman"/>
          <w:b/>
          <w:bCs/>
          <w:sz w:val="24"/>
          <w:szCs w:val="24"/>
          <w:u w:val="single"/>
          <w:lang w:eastAsia="ar-SA"/>
        </w:rPr>
      </w:pPr>
      <w:bookmarkStart w:id="20" w:name="_Toc73953155"/>
      <w:bookmarkEnd w:id="19"/>
      <w:r w:rsidRPr="0034245E">
        <w:rPr>
          <w:rFonts w:ascii="Times New Roman" w:eastAsia="Times New Roman" w:hAnsi="Times New Roman" w:cs="Times New Roman"/>
          <w:sz w:val="24"/>
          <w:szCs w:val="24"/>
          <w:lang w:eastAsia="ar-SA"/>
        </w:rPr>
        <w:t>54% patsientidest teostati</w:t>
      </w:r>
      <w:r w:rsidRPr="0034245E">
        <w:rPr>
          <w:rFonts w:ascii="Times New Roman" w:eastAsia="Times New Roman" w:hAnsi="Times New Roman" w:cs="Times New Roman"/>
          <w:b/>
          <w:bCs/>
          <w:sz w:val="24"/>
          <w:szCs w:val="24"/>
          <w:lang w:eastAsia="ar-SA"/>
        </w:rPr>
        <w:t xml:space="preserve"> </w:t>
      </w:r>
      <w:proofErr w:type="spellStart"/>
      <w:r w:rsidRPr="0034245E">
        <w:rPr>
          <w:rFonts w:ascii="Times New Roman" w:eastAsia="Times New Roman" w:hAnsi="Times New Roman" w:cs="Times New Roman"/>
          <w:sz w:val="24"/>
          <w:szCs w:val="24"/>
          <w:lang w:eastAsia="ar-SA"/>
        </w:rPr>
        <w:t>laparoskoopiline</w:t>
      </w:r>
      <w:proofErr w:type="spellEnd"/>
      <w:r w:rsidRPr="0034245E">
        <w:rPr>
          <w:rFonts w:ascii="Times New Roman" w:eastAsia="Times New Roman" w:hAnsi="Times New Roman" w:cs="Times New Roman"/>
          <w:sz w:val="24"/>
          <w:szCs w:val="24"/>
          <w:lang w:eastAsia="ar-SA"/>
        </w:rPr>
        <w:t xml:space="preserve"> maost möödajuhtiv operatsioon (</w:t>
      </w:r>
      <w:proofErr w:type="spellStart"/>
      <w:r w:rsidRPr="0034245E">
        <w:rPr>
          <w:rFonts w:ascii="Times New Roman" w:eastAsia="Times New Roman" w:hAnsi="Times New Roman" w:cs="Times New Roman"/>
          <w:sz w:val="24"/>
          <w:szCs w:val="24"/>
          <w:lang w:eastAsia="ar-SA"/>
        </w:rPr>
        <w:t>bypass</w:t>
      </w:r>
      <w:proofErr w:type="spellEnd"/>
      <w:r w:rsidRPr="0034245E">
        <w:rPr>
          <w:rFonts w:ascii="Times New Roman" w:eastAsia="Times New Roman" w:hAnsi="Times New Roman" w:cs="Times New Roman"/>
          <w:sz w:val="24"/>
          <w:szCs w:val="24"/>
          <w:lang w:eastAsia="ar-SA"/>
        </w:rPr>
        <w:t xml:space="preserve">) ja 46% patsientidest teostati </w:t>
      </w:r>
      <w:proofErr w:type="spellStart"/>
      <w:r w:rsidRPr="0034245E">
        <w:rPr>
          <w:rFonts w:ascii="Times New Roman" w:eastAsia="Times New Roman" w:hAnsi="Times New Roman" w:cs="Times New Roman"/>
          <w:sz w:val="24"/>
          <w:szCs w:val="24"/>
          <w:lang w:eastAsia="ar-SA"/>
        </w:rPr>
        <w:t>laparoskoopiline</w:t>
      </w:r>
      <w:proofErr w:type="spellEnd"/>
      <w:r w:rsidRPr="0034245E">
        <w:rPr>
          <w:rFonts w:ascii="Times New Roman" w:eastAsia="Times New Roman" w:hAnsi="Times New Roman" w:cs="Times New Roman"/>
          <w:sz w:val="24"/>
          <w:szCs w:val="24"/>
          <w:lang w:eastAsia="ar-SA"/>
        </w:rPr>
        <w:t xml:space="preserve"> vertikaalne mao </w:t>
      </w:r>
      <w:proofErr w:type="spellStart"/>
      <w:r w:rsidRPr="0034245E">
        <w:rPr>
          <w:rFonts w:ascii="Times New Roman" w:eastAsia="Times New Roman" w:hAnsi="Times New Roman" w:cs="Times New Roman"/>
          <w:sz w:val="24"/>
          <w:szCs w:val="24"/>
          <w:lang w:eastAsia="ar-SA"/>
        </w:rPr>
        <w:t>resektsioon</w:t>
      </w:r>
      <w:proofErr w:type="spellEnd"/>
      <w:r w:rsidRPr="0034245E">
        <w:rPr>
          <w:rFonts w:ascii="Times New Roman" w:eastAsia="Times New Roman" w:hAnsi="Times New Roman" w:cs="Times New Roman"/>
          <w:sz w:val="24"/>
          <w:szCs w:val="24"/>
          <w:lang w:eastAsia="ar-SA"/>
        </w:rPr>
        <w:t xml:space="preserve"> (</w:t>
      </w:r>
      <w:proofErr w:type="spellStart"/>
      <w:r w:rsidRPr="0034245E">
        <w:rPr>
          <w:rFonts w:ascii="Times New Roman" w:eastAsia="Times New Roman" w:hAnsi="Times New Roman" w:cs="Times New Roman"/>
          <w:sz w:val="24"/>
          <w:szCs w:val="24"/>
          <w:lang w:eastAsia="ar-SA"/>
        </w:rPr>
        <w:t>gastric</w:t>
      </w:r>
      <w:proofErr w:type="spellEnd"/>
      <w:r w:rsidRPr="0034245E">
        <w:rPr>
          <w:rFonts w:ascii="Times New Roman" w:eastAsia="Times New Roman" w:hAnsi="Times New Roman" w:cs="Times New Roman"/>
          <w:sz w:val="24"/>
          <w:szCs w:val="24"/>
          <w:lang w:eastAsia="ar-SA"/>
        </w:rPr>
        <w:t xml:space="preserve"> </w:t>
      </w:r>
      <w:proofErr w:type="spellStart"/>
      <w:r w:rsidRPr="0034245E">
        <w:rPr>
          <w:rFonts w:ascii="Times New Roman" w:eastAsia="Times New Roman" w:hAnsi="Times New Roman" w:cs="Times New Roman"/>
          <w:sz w:val="24"/>
          <w:szCs w:val="24"/>
          <w:lang w:eastAsia="ar-SA"/>
        </w:rPr>
        <w:t>sleeve</w:t>
      </w:r>
      <w:proofErr w:type="spellEnd"/>
      <w:r w:rsidRPr="0034245E">
        <w:rPr>
          <w:rFonts w:ascii="Times New Roman" w:eastAsia="Times New Roman" w:hAnsi="Times New Roman" w:cs="Times New Roman"/>
          <w:sz w:val="24"/>
          <w:szCs w:val="24"/>
          <w:lang w:eastAsia="ar-SA"/>
        </w:rPr>
        <w:t>).</w:t>
      </w:r>
      <w:bookmarkEnd w:id="20"/>
      <w:r w:rsidR="006A1D79">
        <w:rPr>
          <w:rFonts w:ascii="Times New Roman" w:eastAsia="Times New Roman" w:hAnsi="Times New Roman" w:cs="Times New Roman"/>
          <w:sz w:val="24"/>
          <w:szCs w:val="24"/>
          <w:lang w:eastAsia="ar-SA"/>
        </w:rPr>
        <w:t xml:space="preserve"> Kõikidel juhtudel järgiti ravijuhendi soovitust.</w:t>
      </w:r>
    </w:p>
    <w:p w14:paraId="2AF1A347" w14:textId="3F6550CA" w:rsidR="0034245E" w:rsidRDefault="0034245E" w:rsidP="00DB07D8">
      <w:pPr>
        <w:suppressAutoHyphens/>
        <w:spacing w:after="0" w:line="240" w:lineRule="auto"/>
        <w:jc w:val="both"/>
        <w:rPr>
          <w:rFonts w:ascii="Times New Roman" w:eastAsia="Calibri" w:hAnsi="Times New Roman" w:cs="Times New Roman"/>
          <w:noProof/>
          <w:sz w:val="24"/>
          <w:szCs w:val="24"/>
          <w:lang w:eastAsia="et-EE"/>
        </w:rPr>
      </w:pPr>
    </w:p>
    <w:p w14:paraId="2CD925A2" w14:textId="77777777" w:rsidR="0034245E" w:rsidRDefault="0034245E" w:rsidP="00DB07D8">
      <w:pPr>
        <w:suppressAutoHyphens/>
        <w:spacing w:after="0" w:line="240" w:lineRule="auto"/>
        <w:jc w:val="both"/>
        <w:rPr>
          <w:rFonts w:ascii="Times New Roman" w:eastAsia="Calibri" w:hAnsi="Times New Roman" w:cs="Times New Roman"/>
          <w:noProof/>
          <w:sz w:val="24"/>
          <w:szCs w:val="24"/>
          <w:lang w:eastAsia="et-EE"/>
        </w:rPr>
      </w:pPr>
    </w:p>
    <w:p w14:paraId="01AC5A04" w14:textId="7F98525B" w:rsidR="0034245E" w:rsidRPr="00400C46" w:rsidRDefault="0034245E" w:rsidP="0034245E">
      <w:pPr>
        <w:keepNext/>
        <w:tabs>
          <w:tab w:val="left" w:pos="709"/>
        </w:tabs>
        <w:spacing w:before="120"/>
        <w:jc w:val="both"/>
        <w:outlineLvl w:val="1"/>
        <w:rPr>
          <w:rFonts w:ascii="Times New Roman" w:eastAsia="Calibri" w:hAnsi="Times New Roman" w:cs="Times New Roman"/>
          <w:b/>
          <w:bCs/>
          <w:noProof/>
          <w:sz w:val="24"/>
          <w:szCs w:val="24"/>
          <w:lang w:eastAsia="et-EE"/>
        </w:rPr>
      </w:pPr>
      <w:bookmarkStart w:id="21" w:name="_Toc73953156"/>
      <w:r w:rsidRPr="00400C46">
        <w:rPr>
          <w:rFonts w:ascii="Times New Roman" w:eastAsia="Calibri" w:hAnsi="Times New Roman" w:cs="Times New Roman"/>
          <w:b/>
          <w:bCs/>
          <w:noProof/>
          <w:sz w:val="24"/>
          <w:szCs w:val="24"/>
          <w:lang w:eastAsia="et-EE"/>
        </w:rPr>
        <w:t xml:space="preserve">4.4. </w:t>
      </w:r>
      <w:r w:rsidRPr="00400C46">
        <w:rPr>
          <w:rFonts w:ascii="Times New Roman" w:eastAsia="Times New Roman" w:hAnsi="Times New Roman" w:cs="Times New Roman"/>
          <w:b/>
          <w:bCs/>
          <w:sz w:val="24"/>
          <w:szCs w:val="24"/>
          <w:lang w:eastAsia="ar-SA"/>
        </w:rPr>
        <w:t xml:space="preserve">Patsiendi </w:t>
      </w:r>
      <w:proofErr w:type="spellStart"/>
      <w:r w:rsidRPr="00400C46">
        <w:rPr>
          <w:rFonts w:ascii="Times New Roman" w:eastAsia="Times New Roman" w:hAnsi="Times New Roman" w:cs="Times New Roman"/>
          <w:b/>
          <w:bCs/>
          <w:sz w:val="24"/>
          <w:szCs w:val="24"/>
          <w:lang w:eastAsia="ar-SA"/>
        </w:rPr>
        <w:t>preoperatiivne</w:t>
      </w:r>
      <w:proofErr w:type="spellEnd"/>
      <w:r w:rsidRPr="00400C46">
        <w:rPr>
          <w:rFonts w:ascii="Times New Roman" w:eastAsia="Times New Roman" w:hAnsi="Times New Roman" w:cs="Times New Roman"/>
          <w:b/>
          <w:bCs/>
          <w:sz w:val="24"/>
          <w:szCs w:val="24"/>
          <w:lang w:eastAsia="ar-SA"/>
        </w:rPr>
        <w:t xml:space="preserve"> käsitlus</w:t>
      </w:r>
      <w:bookmarkEnd w:id="21"/>
    </w:p>
    <w:p w14:paraId="29222615" w14:textId="77777777" w:rsidR="0034245E" w:rsidRPr="0034245E" w:rsidRDefault="0034245E" w:rsidP="0034245E">
      <w:pPr>
        <w:suppressAutoHyphens/>
        <w:spacing w:after="0" w:line="240" w:lineRule="auto"/>
        <w:jc w:val="both"/>
        <w:rPr>
          <w:rFonts w:ascii="Times New Roman" w:eastAsia="Times New Roman" w:hAnsi="Times New Roman" w:cs="Times New Roman"/>
          <w:i/>
          <w:iCs/>
          <w:sz w:val="24"/>
          <w:szCs w:val="24"/>
          <w:lang w:eastAsia="ar-SA"/>
        </w:rPr>
      </w:pPr>
      <w:r w:rsidRPr="0034245E">
        <w:rPr>
          <w:rFonts w:ascii="Times New Roman" w:eastAsia="Times New Roman" w:hAnsi="Times New Roman" w:cs="Times New Roman"/>
          <w:b/>
          <w:bCs/>
          <w:i/>
          <w:iCs/>
          <w:sz w:val="24"/>
          <w:szCs w:val="24"/>
          <w:lang w:eastAsia="ar-SA"/>
        </w:rPr>
        <w:t>Ravijuhendi soovitus 3</w:t>
      </w:r>
      <w:r w:rsidRPr="0034245E">
        <w:rPr>
          <w:rFonts w:ascii="Times New Roman" w:eastAsia="Times New Roman" w:hAnsi="Times New Roman" w:cs="Times New Roman"/>
          <w:i/>
          <w:iCs/>
          <w:sz w:val="24"/>
          <w:szCs w:val="24"/>
          <w:lang w:eastAsia="ar-SA"/>
        </w:rPr>
        <w:t xml:space="preserve">: Kirurgi konsultatsioonile suunamisel määrake järgmised analüüsid: kolesterool, HDL-kolesterool, LDL-kolesterool, </w:t>
      </w:r>
      <w:proofErr w:type="spellStart"/>
      <w:r w:rsidRPr="0034245E">
        <w:rPr>
          <w:rFonts w:ascii="Times New Roman" w:eastAsia="Times New Roman" w:hAnsi="Times New Roman" w:cs="Times New Roman"/>
          <w:i/>
          <w:iCs/>
          <w:sz w:val="24"/>
          <w:szCs w:val="24"/>
          <w:lang w:eastAsia="ar-SA"/>
        </w:rPr>
        <w:t>triglütseriidid</w:t>
      </w:r>
      <w:proofErr w:type="spellEnd"/>
      <w:r w:rsidRPr="0034245E">
        <w:rPr>
          <w:rFonts w:ascii="Times New Roman" w:eastAsia="Times New Roman" w:hAnsi="Times New Roman" w:cs="Times New Roman"/>
          <w:i/>
          <w:iCs/>
          <w:sz w:val="24"/>
          <w:szCs w:val="24"/>
          <w:lang w:eastAsia="ar-SA"/>
        </w:rPr>
        <w:t xml:space="preserve">, </w:t>
      </w:r>
      <w:proofErr w:type="spellStart"/>
      <w:r w:rsidRPr="0034245E">
        <w:rPr>
          <w:rFonts w:ascii="Times New Roman" w:eastAsia="Times New Roman" w:hAnsi="Times New Roman" w:cs="Times New Roman"/>
          <w:i/>
          <w:iCs/>
          <w:sz w:val="24"/>
          <w:szCs w:val="24"/>
          <w:lang w:eastAsia="ar-SA"/>
        </w:rPr>
        <w:t>glükohemoglobiin</w:t>
      </w:r>
      <w:proofErr w:type="spellEnd"/>
      <w:r w:rsidRPr="0034245E">
        <w:rPr>
          <w:rFonts w:ascii="Times New Roman" w:eastAsia="Times New Roman" w:hAnsi="Times New Roman" w:cs="Times New Roman"/>
          <w:i/>
          <w:iCs/>
          <w:sz w:val="24"/>
          <w:szCs w:val="24"/>
          <w:lang w:eastAsia="ar-SA"/>
        </w:rPr>
        <w:t xml:space="preserve">, </w:t>
      </w:r>
      <w:proofErr w:type="spellStart"/>
      <w:r w:rsidRPr="0034245E">
        <w:rPr>
          <w:rFonts w:ascii="Times New Roman" w:eastAsia="Times New Roman" w:hAnsi="Times New Roman" w:cs="Times New Roman"/>
          <w:i/>
          <w:iCs/>
          <w:sz w:val="24"/>
          <w:szCs w:val="24"/>
          <w:lang w:eastAsia="ar-SA"/>
        </w:rPr>
        <w:t>ferritiin</w:t>
      </w:r>
      <w:proofErr w:type="spellEnd"/>
      <w:r w:rsidRPr="0034245E">
        <w:rPr>
          <w:rFonts w:ascii="Times New Roman" w:eastAsia="Times New Roman" w:hAnsi="Times New Roman" w:cs="Times New Roman"/>
          <w:i/>
          <w:iCs/>
          <w:sz w:val="24"/>
          <w:szCs w:val="24"/>
          <w:lang w:eastAsia="ar-SA"/>
        </w:rPr>
        <w:t xml:space="preserve">, TSH ning </w:t>
      </w:r>
      <w:proofErr w:type="spellStart"/>
      <w:r w:rsidRPr="0034245E">
        <w:rPr>
          <w:rFonts w:ascii="Times New Roman" w:eastAsia="Times New Roman" w:hAnsi="Times New Roman" w:cs="Times New Roman"/>
          <w:i/>
          <w:iCs/>
          <w:sz w:val="24"/>
          <w:szCs w:val="24"/>
          <w:lang w:eastAsia="ar-SA"/>
        </w:rPr>
        <w:t>hemogramm</w:t>
      </w:r>
      <w:proofErr w:type="spellEnd"/>
      <w:r w:rsidRPr="0034245E">
        <w:rPr>
          <w:rFonts w:ascii="Times New Roman" w:eastAsia="Times New Roman" w:hAnsi="Times New Roman" w:cs="Times New Roman"/>
          <w:i/>
          <w:iCs/>
          <w:sz w:val="24"/>
          <w:szCs w:val="24"/>
          <w:lang w:eastAsia="ar-SA"/>
        </w:rPr>
        <w:t xml:space="preserve"> 5-osalise </w:t>
      </w:r>
      <w:proofErr w:type="spellStart"/>
      <w:r w:rsidRPr="0034245E">
        <w:rPr>
          <w:rFonts w:ascii="Times New Roman" w:eastAsia="Times New Roman" w:hAnsi="Times New Roman" w:cs="Times New Roman"/>
          <w:i/>
          <w:iCs/>
          <w:sz w:val="24"/>
          <w:szCs w:val="24"/>
          <w:lang w:eastAsia="ar-SA"/>
        </w:rPr>
        <w:t>leukogrammiga</w:t>
      </w:r>
      <w:proofErr w:type="spellEnd"/>
      <w:r w:rsidRPr="0034245E">
        <w:rPr>
          <w:rFonts w:ascii="Times New Roman" w:eastAsia="Times New Roman" w:hAnsi="Times New Roman" w:cs="Times New Roman"/>
          <w:i/>
          <w:iCs/>
          <w:sz w:val="24"/>
          <w:szCs w:val="24"/>
          <w:lang w:eastAsia="ar-SA"/>
        </w:rPr>
        <w:t>.</w:t>
      </w:r>
    </w:p>
    <w:tbl>
      <w:tblPr>
        <w:tblStyle w:val="TableGrid"/>
        <w:tblW w:w="0" w:type="auto"/>
        <w:tblLook w:val="04A0" w:firstRow="1" w:lastRow="0" w:firstColumn="1" w:lastColumn="0" w:noHBand="0" w:noVBand="1"/>
      </w:tblPr>
      <w:tblGrid>
        <w:gridCol w:w="4531"/>
        <w:gridCol w:w="4531"/>
      </w:tblGrid>
      <w:tr w:rsidR="0034245E" w14:paraId="5E35FA61" w14:textId="77777777" w:rsidTr="00BC50E2">
        <w:tc>
          <w:tcPr>
            <w:tcW w:w="4531" w:type="dxa"/>
          </w:tcPr>
          <w:p w14:paraId="5AD16CC9" w14:textId="7E48FC5C" w:rsidR="0034245E" w:rsidRDefault="0034245E" w:rsidP="00BC50E2">
            <w:pPr>
              <w:suppressAutoHyphens/>
              <w:jc w:val="both"/>
              <w:rPr>
                <w:rFonts w:ascii="Times New Roman" w:eastAsia="Calibri" w:hAnsi="Times New Roman" w:cs="Times New Roman"/>
                <w:noProof/>
                <w:sz w:val="24"/>
                <w:szCs w:val="24"/>
                <w:lang w:eastAsia="et-EE"/>
              </w:rPr>
            </w:pPr>
            <w:bookmarkStart w:id="22" w:name="_Hlk73951524"/>
            <w:r>
              <w:rPr>
                <w:rFonts w:ascii="Times New Roman" w:eastAsia="Calibri" w:hAnsi="Times New Roman" w:cs="Times New Roman"/>
                <w:noProof/>
                <w:sz w:val="24"/>
                <w:szCs w:val="24"/>
                <w:lang w:eastAsia="et-EE"/>
              </w:rPr>
              <w:t>jah</w:t>
            </w:r>
          </w:p>
        </w:tc>
        <w:tc>
          <w:tcPr>
            <w:tcW w:w="4531" w:type="dxa"/>
          </w:tcPr>
          <w:p w14:paraId="2F475288" w14:textId="11DB38E2"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56</w:t>
            </w:r>
          </w:p>
        </w:tc>
      </w:tr>
      <w:tr w:rsidR="0034245E" w14:paraId="4A08206E" w14:textId="77777777" w:rsidTr="00BC50E2">
        <w:tc>
          <w:tcPr>
            <w:tcW w:w="4531" w:type="dxa"/>
          </w:tcPr>
          <w:p w14:paraId="57D3464F" w14:textId="3BA1D51E"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osaliselt</w:t>
            </w:r>
          </w:p>
        </w:tc>
        <w:tc>
          <w:tcPr>
            <w:tcW w:w="4531" w:type="dxa"/>
          </w:tcPr>
          <w:p w14:paraId="5F3D3431" w14:textId="0A5840F3"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44</w:t>
            </w:r>
          </w:p>
        </w:tc>
      </w:tr>
      <w:tr w:rsidR="0034245E" w14:paraId="31E0C06C" w14:textId="77777777" w:rsidTr="00BC50E2">
        <w:tc>
          <w:tcPr>
            <w:tcW w:w="4531" w:type="dxa"/>
          </w:tcPr>
          <w:p w14:paraId="4CF2A0C6" w14:textId="1B98CA88"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130E97C3" w14:textId="76C0611F"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w:t>
            </w:r>
          </w:p>
        </w:tc>
      </w:tr>
      <w:tr w:rsidR="0034245E" w14:paraId="7A56E500" w14:textId="77777777" w:rsidTr="00BC50E2">
        <w:tc>
          <w:tcPr>
            <w:tcW w:w="4531" w:type="dxa"/>
          </w:tcPr>
          <w:p w14:paraId="34D0F3A1" w14:textId="77777777"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4F1F2EE5" w14:textId="77777777" w:rsidR="0034245E" w:rsidRDefault="0034245E"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0DAB7133" w14:textId="2AE6D8E9" w:rsidR="00A55AD3" w:rsidRPr="0034245E" w:rsidRDefault="0034245E" w:rsidP="000803D9">
      <w:pPr>
        <w:pStyle w:val="Heading1"/>
        <w:rPr>
          <w:rFonts w:eastAsia="Calibri"/>
          <w:b w:val="0"/>
          <w:bCs/>
          <w:noProof/>
          <w:lang w:eastAsia="et-EE"/>
        </w:rPr>
      </w:pPr>
      <w:bookmarkStart w:id="23" w:name="_Toc73953157"/>
      <w:bookmarkEnd w:id="22"/>
      <w:r w:rsidRPr="0034245E">
        <w:rPr>
          <w:b w:val="0"/>
          <w:bCs/>
        </w:rPr>
        <w:t>Kõikidel juhtudel järgiti ravijuhendi soovitust täielikult (56%) või osaliselt (44%).</w:t>
      </w:r>
      <w:r>
        <w:rPr>
          <w:b w:val="0"/>
          <w:bCs/>
        </w:rPr>
        <w:t xml:space="preserve"> </w:t>
      </w:r>
      <w:r w:rsidRPr="0034245E">
        <w:rPr>
          <w:b w:val="0"/>
          <w:bCs/>
        </w:rPr>
        <w:t>Raviasutustel on moodustatud kindel analüüside pakett. Osadel juhtudel teevad patsiendid analüüse ka perearsti juures.</w:t>
      </w:r>
      <w:bookmarkEnd w:id="23"/>
    </w:p>
    <w:p w14:paraId="5214EF39" w14:textId="751C2D92" w:rsidR="004741A0" w:rsidRDefault="004741A0" w:rsidP="000803D9">
      <w:pPr>
        <w:pStyle w:val="NoSpacing"/>
        <w:jc w:val="both"/>
        <w:rPr>
          <w:rFonts w:ascii="Times New Roman" w:hAnsi="Times New Roman" w:cs="Times New Roman"/>
          <w:sz w:val="24"/>
          <w:szCs w:val="24"/>
          <w:lang w:eastAsia="et-EE"/>
        </w:rPr>
      </w:pPr>
    </w:p>
    <w:p w14:paraId="4D76938B" w14:textId="77777777" w:rsidR="0034245E" w:rsidRPr="0034245E" w:rsidRDefault="0034245E" w:rsidP="0034245E">
      <w:pPr>
        <w:suppressAutoHyphens/>
        <w:spacing w:after="0" w:line="240" w:lineRule="auto"/>
        <w:jc w:val="both"/>
        <w:rPr>
          <w:rFonts w:ascii="Times New Roman" w:eastAsia="Times New Roman" w:hAnsi="Times New Roman" w:cs="Times New Roman"/>
          <w:i/>
          <w:iCs/>
          <w:sz w:val="24"/>
          <w:szCs w:val="24"/>
          <w:lang w:eastAsia="ar-SA"/>
        </w:rPr>
      </w:pPr>
      <w:r w:rsidRPr="0034245E">
        <w:rPr>
          <w:rFonts w:ascii="Times New Roman" w:eastAsia="Times New Roman" w:hAnsi="Times New Roman" w:cs="Times New Roman"/>
          <w:b/>
          <w:bCs/>
          <w:i/>
          <w:iCs/>
          <w:sz w:val="24"/>
          <w:szCs w:val="24"/>
          <w:lang w:eastAsia="ar-SA"/>
        </w:rPr>
        <w:t>Ravijuhendi soovitus 4</w:t>
      </w:r>
      <w:r w:rsidRPr="0034245E">
        <w:rPr>
          <w:rFonts w:ascii="Times New Roman" w:eastAsia="Times New Roman" w:hAnsi="Times New Roman" w:cs="Times New Roman"/>
          <w:i/>
          <w:iCs/>
          <w:sz w:val="24"/>
          <w:szCs w:val="24"/>
          <w:lang w:eastAsia="ar-SA"/>
        </w:rPr>
        <w:t>: Enne kirurgilist sekkumist määrake ravitulemuste parandamiseks järgmised analüüsid: foolhape ja B12-vitamiin ,ioniseeritud kaltsium.</w:t>
      </w:r>
    </w:p>
    <w:tbl>
      <w:tblPr>
        <w:tblStyle w:val="TableGrid"/>
        <w:tblW w:w="0" w:type="auto"/>
        <w:tblLook w:val="04A0" w:firstRow="1" w:lastRow="0" w:firstColumn="1" w:lastColumn="0" w:noHBand="0" w:noVBand="1"/>
      </w:tblPr>
      <w:tblGrid>
        <w:gridCol w:w="4531"/>
        <w:gridCol w:w="4531"/>
      </w:tblGrid>
      <w:tr w:rsidR="003B3DDB" w14:paraId="039206C1" w14:textId="77777777" w:rsidTr="00BC50E2">
        <w:tc>
          <w:tcPr>
            <w:tcW w:w="4531" w:type="dxa"/>
          </w:tcPr>
          <w:p w14:paraId="16FD9E5A"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jah</w:t>
            </w:r>
          </w:p>
        </w:tc>
        <w:tc>
          <w:tcPr>
            <w:tcW w:w="4531" w:type="dxa"/>
          </w:tcPr>
          <w:p w14:paraId="1AB096B3" w14:textId="2CE340A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74</w:t>
            </w:r>
          </w:p>
        </w:tc>
      </w:tr>
      <w:tr w:rsidR="003B3DDB" w14:paraId="20D08034" w14:textId="77777777" w:rsidTr="00BC50E2">
        <w:tc>
          <w:tcPr>
            <w:tcW w:w="4531" w:type="dxa"/>
          </w:tcPr>
          <w:p w14:paraId="1419D6A9"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osaliselt</w:t>
            </w:r>
          </w:p>
        </w:tc>
        <w:tc>
          <w:tcPr>
            <w:tcW w:w="4531" w:type="dxa"/>
          </w:tcPr>
          <w:p w14:paraId="3E4CBBE1" w14:textId="4E8400BD"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11</w:t>
            </w:r>
          </w:p>
        </w:tc>
      </w:tr>
      <w:tr w:rsidR="003B3DDB" w14:paraId="3831CD7A" w14:textId="77777777" w:rsidTr="00BC50E2">
        <w:tc>
          <w:tcPr>
            <w:tcW w:w="4531" w:type="dxa"/>
          </w:tcPr>
          <w:p w14:paraId="79D32015"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3382B3A0" w14:textId="6D1CFE8B"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15</w:t>
            </w:r>
          </w:p>
        </w:tc>
      </w:tr>
      <w:tr w:rsidR="003B3DDB" w14:paraId="1E2415EE" w14:textId="77777777" w:rsidTr="00BC50E2">
        <w:tc>
          <w:tcPr>
            <w:tcW w:w="4531" w:type="dxa"/>
          </w:tcPr>
          <w:p w14:paraId="69A49EAE"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6B685F7C"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550D2C74" w14:textId="35797317" w:rsidR="0034245E" w:rsidRDefault="0034245E" w:rsidP="000803D9">
      <w:pPr>
        <w:pStyle w:val="NoSpacing"/>
        <w:jc w:val="both"/>
        <w:rPr>
          <w:rFonts w:ascii="Times New Roman" w:hAnsi="Times New Roman" w:cs="Times New Roman"/>
          <w:sz w:val="24"/>
          <w:szCs w:val="24"/>
          <w:lang w:eastAsia="et-EE"/>
        </w:rPr>
      </w:pPr>
    </w:p>
    <w:p w14:paraId="65C9284B" w14:textId="77777777" w:rsidR="003B3DDB" w:rsidRPr="003B3DDB" w:rsidRDefault="003B3DDB" w:rsidP="003B3DDB">
      <w:pPr>
        <w:keepNext/>
        <w:tabs>
          <w:tab w:val="left" w:pos="709"/>
        </w:tabs>
        <w:spacing w:before="120" w:after="0" w:line="240" w:lineRule="auto"/>
        <w:jc w:val="both"/>
        <w:outlineLvl w:val="1"/>
        <w:rPr>
          <w:rFonts w:ascii="Times New Roman" w:eastAsia="Times New Roman" w:hAnsi="Times New Roman" w:cs="Times New Roman"/>
          <w:sz w:val="24"/>
          <w:szCs w:val="24"/>
          <w:lang w:eastAsia="ar-SA"/>
        </w:rPr>
      </w:pPr>
      <w:bookmarkStart w:id="24" w:name="_Toc73953158"/>
      <w:r w:rsidRPr="003B3DDB">
        <w:rPr>
          <w:rFonts w:ascii="Times New Roman" w:eastAsia="Times New Roman" w:hAnsi="Times New Roman" w:cs="Times New Roman"/>
          <w:sz w:val="24"/>
          <w:szCs w:val="24"/>
          <w:lang w:eastAsia="ar-SA"/>
        </w:rPr>
        <w:t>74% patsientidest olid kõik ravijuhendi soovitatud analüüside vastused leitavad.</w:t>
      </w:r>
      <w:bookmarkEnd w:id="24"/>
    </w:p>
    <w:p w14:paraId="711BB64F" w14:textId="77777777" w:rsidR="003B3DDB" w:rsidRPr="003B3DDB" w:rsidRDefault="003B3DDB" w:rsidP="003B3DDB">
      <w:pPr>
        <w:keepNext/>
        <w:tabs>
          <w:tab w:val="left" w:pos="709"/>
        </w:tabs>
        <w:spacing w:before="120" w:after="0" w:line="240" w:lineRule="auto"/>
        <w:jc w:val="both"/>
        <w:outlineLvl w:val="1"/>
        <w:rPr>
          <w:rFonts w:ascii="Times New Roman" w:eastAsia="Times New Roman" w:hAnsi="Times New Roman" w:cs="Times New Roman"/>
          <w:sz w:val="24"/>
          <w:szCs w:val="24"/>
          <w:lang w:eastAsia="ar-SA"/>
        </w:rPr>
      </w:pPr>
      <w:bookmarkStart w:id="25" w:name="_Toc73953159"/>
      <w:r w:rsidRPr="003B3DDB">
        <w:rPr>
          <w:rFonts w:ascii="Times New Roman" w:eastAsia="Times New Roman" w:hAnsi="Times New Roman" w:cs="Times New Roman"/>
          <w:sz w:val="24"/>
          <w:szCs w:val="24"/>
          <w:lang w:eastAsia="ar-SA"/>
        </w:rPr>
        <w:t>Osaliselt olid soovitatud analüüsid teostatud 11% patsientidest. 15% juhtudest ei olnud analüüside vastused leitavad.</w:t>
      </w:r>
      <w:bookmarkEnd w:id="25"/>
    </w:p>
    <w:p w14:paraId="0F410629" w14:textId="458BA5E3" w:rsidR="003B3DDB" w:rsidRDefault="003B3DDB" w:rsidP="000803D9">
      <w:pPr>
        <w:pStyle w:val="NoSpacing"/>
        <w:jc w:val="both"/>
        <w:rPr>
          <w:rFonts w:ascii="Times New Roman" w:hAnsi="Times New Roman" w:cs="Times New Roman"/>
          <w:sz w:val="24"/>
          <w:szCs w:val="24"/>
          <w:lang w:eastAsia="et-EE"/>
        </w:rPr>
      </w:pPr>
    </w:p>
    <w:p w14:paraId="62562146" w14:textId="77777777" w:rsidR="003B3DDB" w:rsidRPr="003B3DDB" w:rsidRDefault="003B3DDB" w:rsidP="003B3DDB">
      <w:pPr>
        <w:suppressAutoHyphens/>
        <w:spacing w:after="0" w:line="240" w:lineRule="auto"/>
        <w:jc w:val="both"/>
        <w:rPr>
          <w:rFonts w:ascii="Times New Roman" w:eastAsia="Times New Roman" w:hAnsi="Times New Roman" w:cs="Times New Roman"/>
          <w:i/>
          <w:iCs/>
          <w:sz w:val="24"/>
          <w:szCs w:val="24"/>
          <w:lang w:eastAsia="ar-SA"/>
        </w:rPr>
      </w:pPr>
      <w:r w:rsidRPr="003B3DDB">
        <w:rPr>
          <w:rFonts w:ascii="Times New Roman" w:eastAsia="Times New Roman" w:hAnsi="Times New Roman" w:cs="Times New Roman"/>
          <w:b/>
          <w:bCs/>
          <w:i/>
          <w:iCs/>
          <w:sz w:val="24"/>
          <w:szCs w:val="24"/>
          <w:lang w:eastAsia="ar-SA"/>
        </w:rPr>
        <w:t xml:space="preserve">Ravijuhendi soovitus 6: </w:t>
      </w:r>
      <w:r w:rsidRPr="003B3DDB">
        <w:rPr>
          <w:rFonts w:ascii="Times New Roman" w:eastAsia="Times New Roman" w:hAnsi="Times New Roman" w:cs="Times New Roman"/>
          <w:i/>
          <w:iCs/>
          <w:sz w:val="24"/>
          <w:szCs w:val="24"/>
          <w:lang w:eastAsia="ar-SA"/>
        </w:rPr>
        <w:t xml:space="preserve">Suunake patsient </w:t>
      </w:r>
      <w:proofErr w:type="spellStart"/>
      <w:r w:rsidRPr="003B3DDB">
        <w:rPr>
          <w:rFonts w:ascii="Times New Roman" w:eastAsia="Times New Roman" w:hAnsi="Times New Roman" w:cs="Times New Roman"/>
          <w:i/>
          <w:iCs/>
          <w:sz w:val="24"/>
          <w:szCs w:val="24"/>
          <w:lang w:eastAsia="ar-SA"/>
        </w:rPr>
        <w:t>preoperatiivselt</w:t>
      </w:r>
      <w:proofErr w:type="spellEnd"/>
      <w:r w:rsidRPr="003B3DDB">
        <w:rPr>
          <w:rFonts w:ascii="Times New Roman" w:eastAsia="Times New Roman" w:hAnsi="Times New Roman" w:cs="Times New Roman"/>
          <w:i/>
          <w:iCs/>
          <w:sz w:val="24"/>
          <w:szCs w:val="24"/>
          <w:lang w:eastAsia="ar-SA"/>
        </w:rPr>
        <w:t xml:space="preserve"> </w:t>
      </w:r>
      <w:proofErr w:type="spellStart"/>
      <w:r w:rsidRPr="003B3DDB">
        <w:rPr>
          <w:rFonts w:ascii="Times New Roman" w:eastAsia="Times New Roman" w:hAnsi="Times New Roman" w:cs="Times New Roman"/>
          <w:i/>
          <w:iCs/>
          <w:sz w:val="24"/>
          <w:szCs w:val="24"/>
          <w:lang w:eastAsia="ar-SA"/>
        </w:rPr>
        <w:t>endoskoopilisele</w:t>
      </w:r>
      <w:proofErr w:type="spellEnd"/>
      <w:r w:rsidRPr="003B3DDB">
        <w:rPr>
          <w:rFonts w:ascii="Times New Roman" w:eastAsia="Times New Roman" w:hAnsi="Times New Roman" w:cs="Times New Roman"/>
          <w:i/>
          <w:iCs/>
          <w:sz w:val="24"/>
          <w:szCs w:val="24"/>
          <w:lang w:eastAsia="ar-SA"/>
        </w:rPr>
        <w:t xml:space="preserve"> ülemise seedetrakti uuringule.</w:t>
      </w:r>
    </w:p>
    <w:tbl>
      <w:tblPr>
        <w:tblStyle w:val="TableGrid"/>
        <w:tblW w:w="0" w:type="auto"/>
        <w:tblLook w:val="04A0" w:firstRow="1" w:lastRow="0" w:firstColumn="1" w:lastColumn="0" w:noHBand="0" w:noVBand="1"/>
      </w:tblPr>
      <w:tblGrid>
        <w:gridCol w:w="4531"/>
        <w:gridCol w:w="4531"/>
      </w:tblGrid>
      <w:tr w:rsidR="003B3DDB" w14:paraId="5F13F380" w14:textId="77777777" w:rsidTr="00BC50E2">
        <w:tc>
          <w:tcPr>
            <w:tcW w:w="4531" w:type="dxa"/>
          </w:tcPr>
          <w:p w14:paraId="49B61AC0" w14:textId="77777777" w:rsidR="003B3DDB" w:rsidRDefault="003B3DDB" w:rsidP="00BC50E2">
            <w:pPr>
              <w:suppressAutoHyphens/>
              <w:jc w:val="both"/>
              <w:rPr>
                <w:rFonts w:ascii="Times New Roman" w:eastAsia="Calibri" w:hAnsi="Times New Roman" w:cs="Times New Roman"/>
                <w:noProof/>
                <w:sz w:val="24"/>
                <w:szCs w:val="24"/>
                <w:lang w:eastAsia="et-EE"/>
              </w:rPr>
            </w:pPr>
            <w:bookmarkStart w:id="26" w:name="_Hlk73951769"/>
            <w:r>
              <w:rPr>
                <w:rFonts w:ascii="Times New Roman" w:eastAsia="Calibri" w:hAnsi="Times New Roman" w:cs="Times New Roman"/>
                <w:noProof/>
                <w:sz w:val="24"/>
                <w:szCs w:val="24"/>
                <w:lang w:eastAsia="et-EE"/>
              </w:rPr>
              <w:t>jah</w:t>
            </w:r>
          </w:p>
        </w:tc>
        <w:tc>
          <w:tcPr>
            <w:tcW w:w="4531" w:type="dxa"/>
          </w:tcPr>
          <w:p w14:paraId="6A2D188E" w14:textId="4212932C"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98</w:t>
            </w:r>
          </w:p>
        </w:tc>
      </w:tr>
      <w:tr w:rsidR="003B3DDB" w14:paraId="37421781" w14:textId="77777777" w:rsidTr="00BC50E2">
        <w:tc>
          <w:tcPr>
            <w:tcW w:w="4531" w:type="dxa"/>
          </w:tcPr>
          <w:p w14:paraId="5AC87018"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56813E5B" w14:textId="41BBED7E"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2</w:t>
            </w:r>
          </w:p>
        </w:tc>
      </w:tr>
      <w:tr w:rsidR="003B3DDB" w14:paraId="334721DB" w14:textId="77777777" w:rsidTr="00BC50E2">
        <w:tc>
          <w:tcPr>
            <w:tcW w:w="4531" w:type="dxa"/>
          </w:tcPr>
          <w:p w14:paraId="7D8C7FA9"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120A6165" w14:textId="77777777" w:rsidR="003B3DDB" w:rsidRDefault="003B3DDB"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bookmarkEnd w:id="26"/>
    </w:tbl>
    <w:p w14:paraId="1967D60D" w14:textId="57D9A961" w:rsidR="003B3DDB" w:rsidRDefault="003B3DDB" w:rsidP="000803D9">
      <w:pPr>
        <w:pStyle w:val="NoSpacing"/>
        <w:jc w:val="both"/>
        <w:rPr>
          <w:rFonts w:ascii="Times New Roman" w:hAnsi="Times New Roman" w:cs="Times New Roman"/>
          <w:sz w:val="24"/>
          <w:szCs w:val="24"/>
          <w:lang w:eastAsia="et-EE"/>
        </w:rPr>
      </w:pPr>
    </w:p>
    <w:p w14:paraId="4A5656CC" w14:textId="71BC19A5" w:rsidR="003B3DDB" w:rsidRPr="003B3DDB" w:rsidRDefault="003B3DDB" w:rsidP="003B3DDB">
      <w:pPr>
        <w:keepNext/>
        <w:tabs>
          <w:tab w:val="left" w:pos="709"/>
        </w:tabs>
        <w:spacing w:before="120" w:after="0" w:line="240" w:lineRule="auto"/>
        <w:jc w:val="both"/>
        <w:outlineLvl w:val="1"/>
        <w:rPr>
          <w:rFonts w:ascii="Times New Roman" w:eastAsia="Times New Roman" w:hAnsi="Times New Roman" w:cs="Times New Roman"/>
          <w:sz w:val="24"/>
          <w:szCs w:val="24"/>
          <w:lang w:eastAsia="ar-SA"/>
        </w:rPr>
      </w:pPr>
      <w:bookmarkStart w:id="27" w:name="_Toc73953160"/>
      <w:r w:rsidRPr="003B3DDB">
        <w:rPr>
          <w:rFonts w:ascii="Times New Roman" w:eastAsia="Times New Roman" w:hAnsi="Times New Roman" w:cs="Times New Roman"/>
          <w:sz w:val="24"/>
          <w:szCs w:val="24"/>
          <w:lang w:eastAsia="ar-SA"/>
        </w:rPr>
        <w:t>98% juhtudest järgiti ravijuhendi soovitust.</w:t>
      </w:r>
      <w:r>
        <w:rPr>
          <w:rFonts w:ascii="Times New Roman" w:eastAsia="Times New Roman" w:hAnsi="Times New Roman" w:cs="Times New Roman"/>
          <w:sz w:val="24"/>
          <w:szCs w:val="24"/>
          <w:lang w:eastAsia="ar-SA"/>
        </w:rPr>
        <w:t xml:space="preserve"> Ü</w:t>
      </w:r>
      <w:r w:rsidRPr="003B3DDB">
        <w:rPr>
          <w:rFonts w:ascii="Times New Roman" w:eastAsia="Times New Roman" w:hAnsi="Times New Roman" w:cs="Times New Roman"/>
          <w:sz w:val="24"/>
          <w:szCs w:val="24"/>
          <w:lang w:eastAsia="ar-SA"/>
        </w:rPr>
        <w:t>hel juhul oli korduvate operatsioonide korral endoskoopia teostatud varem ja ühel juhul oli endoskoopia teostamata.</w:t>
      </w:r>
      <w:bookmarkEnd w:id="27"/>
    </w:p>
    <w:p w14:paraId="5443DBDC" w14:textId="1230955A" w:rsidR="003B3DDB" w:rsidRDefault="003B3DDB" w:rsidP="000803D9">
      <w:pPr>
        <w:pStyle w:val="NoSpacing"/>
        <w:jc w:val="both"/>
        <w:rPr>
          <w:rFonts w:ascii="Times New Roman" w:hAnsi="Times New Roman" w:cs="Times New Roman"/>
          <w:sz w:val="24"/>
          <w:szCs w:val="24"/>
          <w:lang w:eastAsia="et-EE"/>
        </w:rPr>
      </w:pPr>
    </w:p>
    <w:p w14:paraId="63D870C3" w14:textId="77777777" w:rsidR="00DF1FE0" w:rsidRPr="00DF1FE0" w:rsidRDefault="00DF1FE0" w:rsidP="00DF1FE0">
      <w:pPr>
        <w:suppressAutoHyphens/>
        <w:spacing w:after="0" w:line="240" w:lineRule="auto"/>
        <w:jc w:val="both"/>
        <w:rPr>
          <w:rFonts w:ascii="Times New Roman" w:eastAsia="Times New Roman" w:hAnsi="Times New Roman" w:cs="Times New Roman"/>
          <w:i/>
          <w:iCs/>
          <w:sz w:val="24"/>
          <w:szCs w:val="24"/>
          <w:lang w:eastAsia="ar-SA"/>
        </w:rPr>
      </w:pPr>
      <w:r w:rsidRPr="00DF1FE0">
        <w:rPr>
          <w:rFonts w:ascii="Times New Roman" w:eastAsia="Times New Roman" w:hAnsi="Times New Roman" w:cs="Times New Roman"/>
          <w:b/>
          <w:bCs/>
          <w:i/>
          <w:iCs/>
          <w:sz w:val="24"/>
          <w:szCs w:val="24"/>
          <w:lang w:eastAsia="ar-SA"/>
        </w:rPr>
        <w:t xml:space="preserve">Ravijuhendi soovitus 10: </w:t>
      </w:r>
      <w:r w:rsidRPr="00DF1FE0">
        <w:rPr>
          <w:rFonts w:ascii="Times New Roman" w:eastAsia="Times New Roman" w:hAnsi="Times New Roman" w:cs="Times New Roman"/>
          <w:i/>
          <w:iCs/>
          <w:sz w:val="24"/>
          <w:szCs w:val="24"/>
          <w:lang w:eastAsia="ar-SA"/>
        </w:rPr>
        <w:t>Sõeluge enne operatsiooni psüühikahäireid standardiseeritud ja valideeritud hindamisvahenditega.</w:t>
      </w:r>
    </w:p>
    <w:p w14:paraId="255B8081" w14:textId="375110BC" w:rsidR="00DF1FE0" w:rsidRPr="00DF1FE0" w:rsidRDefault="00DF1FE0" w:rsidP="00DF1FE0">
      <w:pPr>
        <w:suppressAutoHyphens/>
        <w:spacing w:after="0" w:line="240" w:lineRule="auto"/>
        <w:jc w:val="both"/>
        <w:rPr>
          <w:rFonts w:ascii="Times New Roman" w:eastAsia="Times New Roman" w:hAnsi="Times New Roman" w:cs="Times New Roman"/>
          <w:sz w:val="24"/>
          <w:szCs w:val="24"/>
          <w:lang w:eastAsia="ar-SA"/>
        </w:rPr>
      </w:pPr>
      <w:r w:rsidRPr="00DF1FE0">
        <w:rPr>
          <w:rFonts w:ascii="Times New Roman" w:eastAsia="Times New Roman" w:hAnsi="Times New Roman" w:cs="Times New Roman"/>
          <w:sz w:val="24"/>
          <w:szCs w:val="24"/>
          <w:lang w:eastAsia="ar-SA"/>
        </w:rPr>
        <w:t>15% patsientidest oli dokumenteeritud perearsti, psühholoogi või psühhiaatri poolt diagnoositud psüühikahäiretele viitav diagnoos</w:t>
      </w:r>
      <w:r w:rsidR="006A1D79">
        <w:rPr>
          <w:rFonts w:ascii="Times New Roman" w:eastAsia="Times New Roman" w:hAnsi="Times New Roman" w:cs="Times New Roman"/>
          <w:sz w:val="24"/>
          <w:szCs w:val="24"/>
          <w:lang w:eastAsia="ar-SA"/>
        </w:rPr>
        <w:t xml:space="preserve"> ja tehtud EEK-2 test.</w:t>
      </w:r>
    </w:p>
    <w:p w14:paraId="6CDE5943" w14:textId="3383F394" w:rsidR="00DF1FE0" w:rsidRDefault="00DF1FE0" w:rsidP="000803D9">
      <w:pPr>
        <w:pStyle w:val="NoSpacing"/>
        <w:jc w:val="both"/>
        <w:rPr>
          <w:rFonts w:ascii="Times New Roman" w:hAnsi="Times New Roman" w:cs="Times New Roman"/>
          <w:sz w:val="24"/>
          <w:szCs w:val="24"/>
          <w:lang w:eastAsia="et-EE"/>
        </w:rPr>
      </w:pPr>
    </w:p>
    <w:p w14:paraId="2EF46B79" w14:textId="77777777" w:rsidR="00DF1FE0" w:rsidRPr="00DF1FE0" w:rsidRDefault="00DF1FE0" w:rsidP="00DF1FE0">
      <w:pPr>
        <w:suppressAutoHyphens/>
        <w:spacing w:after="0" w:line="240" w:lineRule="auto"/>
        <w:jc w:val="both"/>
        <w:rPr>
          <w:rFonts w:ascii="Times New Roman" w:eastAsia="Times New Roman" w:hAnsi="Times New Roman" w:cs="Times New Roman"/>
          <w:i/>
          <w:iCs/>
          <w:sz w:val="24"/>
          <w:szCs w:val="24"/>
          <w:lang w:eastAsia="ar-SA"/>
        </w:rPr>
      </w:pPr>
      <w:r w:rsidRPr="00DF1FE0">
        <w:rPr>
          <w:rFonts w:ascii="Times New Roman" w:eastAsia="Times New Roman" w:hAnsi="Times New Roman" w:cs="Times New Roman"/>
          <w:b/>
          <w:bCs/>
          <w:i/>
          <w:iCs/>
          <w:sz w:val="24"/>
          <w:szCs w:val="24"/>
          <w:lang w:eastAsia="ar-SA"/>
        </w:rPr>
        <w:t xml:space="preserve">Ravijuhendi soovitus 12: </w:t>
      </w:r>
      <w:r w:rsidRPr="00DF1FE0">
        <w:rPr>
          <w:rFonts w:ascii="Times New Roman" w:eastAsia="Times New Roman" w:hAnsi="Times New Roman" w:cs="Times New Roman"/>
          <w:i/>
          <w:iCs/>
          <w:sz w:val="24"/>
          <w:szCs w:val="24"/>
          <w:lang w:eastAsia="ar-SA"/>
        </w:rPr>
        <w:t xml:space="preserve">Söömishäire ja kontrollimatu söömiskäitumisega inimestel kaaluge </w:t>
      </w:r>
      <w:proofErr w:type="spellStart"/>
      <w:r w:rsidRPr="00DF1FE0">
        <w:rPr>
          <w:rFonts w:ascii="Times New Roman" w:eastAsia="Times New Roman" w:hAnsi="Times New Roman" w:cs="Times New Roman"/>
          <w:i/>
          <w:iCs/>
          <w:sz w:val="24"/>
          <w:szCs w:val="24"/>
          <w:lang w:eastAsia="ar-SA"/>
        </w:rPr>
        <w:t>preoperatiivselt</w:t>
      </w:r>
      <w:proofErr w:type="spellEnd"/>
      <w:r w:rsidRPr="00DF1FE0">
        <w:rPr>
          <w:rFonts w:ascii="Times New Roman" w:eastAsia="Times New Roman" w:hAnsi="Times New Roman" w:cs="Times New Roman"/>
          <w:i/>
          <w:iCs/>
          <w:sz w:val="24"/>
          <w:szCs w:val="24"/>
          <w:lang w:eastAsia="ar-SA"/>
        </w:rPr>
        <w:t xml:space="preserve"> kognitiiv-</w:t>
      </w:r>
      <w:proofErr w:type="spellStart"/>
      <w:r w:rsidRPr="00DF1FE0">
        <w:rPr>
          <w:rFonts w:ascii="Times New Roman" w:eastAsia="Times New Roman" w:hAnsi="Times New Roman" w:cs="Times New Roman"/>
          <w:i/>
          <w:iCs/>
          <w:sz w:val="24"/>
          <w:szCs w:val="24"/>
          <w:lang w:eastAsia="ar-SA"/>
        </w:rPr>
        <w:t>käitumuslikke</w:t>
      </w:r>
      <w:proofErr w:type="spellEnd"/>
      <w:r w:rsidRPr="00DF1FE0">
        <w:rPr>
          <w:rFonts w:ascii="Times New Roman" w:eastAsia="Times New Roman" w:hAnsi="Times New Roman" w:cs="Times New Roman"/>
          <w:i/>
          <w:iCs/>
          <w:sz w:val="24"/>
          <w:szCs w:val="24"/>
          <w:lang w:eastAsia="ar-SA"/>
        </w:rPr>
        <w:t xml:space="preserve"> ravimeetodeid, et soodustada operatsioonijärgset ravisoostumust.</w:t>
      </w:r>
    </w:p>
    <w:p w14:paraId="3105E925" w14:textId="77777777" w:rsidR="00DF1FE0" w:rsidRPr="00DF1FE0" w:rsidRDefault="00DF1FE0" w:rsidP="00DF1FE0">
      <w:pPr>
        <w:keepNext/>
        <w:tabs>
          <w:tab w:val="left" w:pos="709"/>
        </w:tabs>
        <w:spacing w:before="120" w:after="120" w:line="240" w:lineRule="auto"/>
        <w:jc w:val="both"/>
        <w:outlineLvl w:val="1"/>
        <w:rPr>
          <w:rFonts w:ascii="Times New Roman" w:eastAsia="Calibri" w:hAnsi="Times New Roman" w:cs="Times New Roman"/>
          <w:bCs/>
          <w:noProof/>
          <w:sz w:val="24"/>
          <w:szCs w:val="24"/>
          <w:lang w:eastAsia="et-EE"/>
        </w:rPr>
      </w:pPr>
      <w:bookmarkStart w:id="28" w:name="_Toc73953161"/>
      <w:r w:rsidRPr="00DF1FE0">
        <w:rPr>
          <w:rFonts w:ascii="Times New Roman" w:eastAsia="Calibri" w:hAnsi="Times New Roman" w:cs="Times New Roman"/>
          <w:bCs/>
          <w:noProof/>
          <w:sz w:val="24"/>
          <w:szCs w:val="24"/>
          <w:lang w:eastAsia="et-EE"/>
        </w:rPr>
        <w:t>Kõik patsiendid olid perearsti, psühholoogi või psühhiaatri jälgimisel ja kellegil ei esinenud vastunäidustusi bariaatriliseks operatsiooniks.</w:t>
      </w:r>
      <w:bookmarkEnd w:id="28"/>
    </w:p>
    <w:p w14:paraId="682440F7" w14:textId="6D11A532" w:rsidR="00DF1FE0" w:rsidRDefault="00DF1FE0" w:rsidP="000803D9">
      <w:pPr>
        <w:pStyle w:val="NoSpacing"/>
        <w:jc w:val="both"/>
        <w:rPr>
          <w:rFonts w:ascii="Times New Roman" w:hAnsi="Times New Roman" w:cs="Times New Roman"/>
          <w:sz w:val="24"/>
          <w:szCs w:val="24"/>
          <w:lang w:eastAsia="et-EE"/>
        </w:rPr>
      </w:pPr>
    </w:p>
    <w:p w14:paraId="71FFC731" w14:textId="77777777" w:rsidR="00DF1FE0" w:rsidRPr="00DF1FE0" w:rsidRDefault="00DF1FE0" w:rsidP="00DF1FE0">
      <w:pPr>
        <w:suppressAutoHyphens/>
        <w:spacing w:after="0" w:line="240" w:lineRule="auto"/>
        <w:jc w:val="both"/>
        <w:rPr>
          <w:rFonts w:ascii="Times New Roman" w:eastAsia="Times New Roman" w:hAnsi="Times New Roman" w:cs="Times New Roman"/>
          <w:i/>
          <w:iCs/>
          <w:sz w:val="24"/>
          <w:szCs w:val="24"/>
          <w:lang w:eastAsia="ar-SA"/>
        </w:rPr>
      </w:pPr>
      <w:r w:rsidRPr="00DF1FE0">
        <w:rPr>
          <w:rFonts w:ascii="Times New Roman" w:eastAsia="Times New Roman" w:hAnsi="Times New Roman" w:cs="Times New Roman"/>
          <w:b/>
          <w:bCs/>
          <w:i/>
          <w:iCs/>
          <w:sz w:val="24"/>
          <w:szCs w:val="24"/>
          <w:lang w:eastAsia="ar-SA"/>
        </w:rPr>
        <w:t xml:space="preserve">Ravijuhendi soovitus 14: </w:t>
      </w:r>
      <w:r w:rsidRPr="00DF1FE0">
        <w:rPr>
          <w:rFonts w:ascii="Times New Roman" w:eastAsia="Times New Roman" w:hAnsi="Times New Roman" w:cs="Times New Roman"/>
          <w:i/>
          <w:iCs/>
          <w:sz w:val="24"/>
          <w:szCs w:val="24"/>
          <w:lang w:eastAsia="ar-SA"/>
        </w:rPr>
        <w:t>Soovitage patsiendile enne operatsiooni bariaatrilise väljaõppega õe konsultatsiooni, mille käigus käsitletakse operatsioonijärgset toitumist ja liikumist.</w:t>
      </w:r>
    </w:p>
    <w:tbl>
      <w:tblPr>
        <w:tblStyle w:val="TableGrid"/>
        <w:tblW w:w="0" w:type="auto"/>
        <w:tblLook w:val="04A0" w:firstRow="1" w:lastRow="0" w:firstColumn="1" w:lastColumn="0" w:noHBand="0" w:noVBand="1"/>
      </w:tblPr>
      <w:tblGrid>
        <w:gridCol w:w="4531"/>
        <w:gridCol w:w="4531"/>
      </w:tblGrid>
      <w:tr w:rsidR="00DF1FE0" w14:paraId="5613C61F" w14:textId="77777777" w:rsidTr="00BC50E2">
        <w:tc>
          <w:tcPr>
            <w:tcW w:w="4531" w:type="dxa"/>
          </w:tcPr>
          <w:p w14:paraId="647E8914"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jah</w:t>
            </w:r>
          </w:p>
        </w:tc>
        <w:tc>
          <w:tcPr>
            <w:tcW w:w="4531" w:type="dxa"/>
          </w:tcPr>
          <w:p w14:paraId="655DAF1D" w14:textId="2B388ABE"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89</w:t>
            </w:r>
          </w:p>
        </w:tc>
      </w:tr>
      <w:tr w:rsidR="00DF1FE0" w14:paraId="45DE3881" w14:textId="77777777" w:rsidTr="00BC50E2">
        <w:tc>
          <w:tcPr>
            <w:tcW w:w="4531" w:type="dxa"/>
          </w:tcPr>
          <w:p w14:paraId="4FA48441"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75728827" w14:textId="4B15CD99"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11</w:t>
            </w:r>
          </w:p>
        </w:tc>
      </w:tr>
      <w:tr w:rsidR="00DF1FE0" w14:paraId="5A5BA418" w14:textId="77777777" w:rsidTr="00BC50E2">
        <w:tc>
          <w:tcPr>
            <w:tcW w:w="4531" w:type="dxa"/>
          </w:tcPr>
          <w:p w14:paraId="792A7BE9"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6DE08BAF"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58FB712A" w14:textId="45B2E5B1" w:rsidR="00DF1FE0" w:rsidRDefault="00DF1FE0" w:rsidP="000803D9">
      <w:pPr>
        <w:pStyle w:val="NoSpacing"/>
        <w:jc w:val="both"/>
        <w:rPr>
          <w:rFonts w:ascii="Times New Roman" w:hAnsi="Times New Roman" w:cs="Times New Roman"/>
          <w:sz w:val="24"/>
          <w:szCs w:val="24"/>
          <w:lang w:eastAsia="et-EE"/>
        </w:rPr>
      </w:pPr>
    </w:p>
    <w:p w14:paraId="77F04634" w14:textId="15597681" w:rsidR="00DF1FE0" w:rsidRPr="00DF1FE0" w:rsidRDefault="00DF1FE0" w:rsidP="00DF1FE0">
      <w:pPr>
        <w:keepNext/>
        <w:tabs>
          <w:tab w:val="left" w:pos="709"/>
        </w:tabs>
        <w:spacing w:before="120" w:after="120" w:line="240" w:lineRule="auto"/>
        <w:jc w:val="both"/>
        <w:outlineLvl w:val="1"/>
        <w:rPr>
          <w:rFonts w:ascii="Times New Roman" w:eastAsia="Calibri" w:hAnsi="Times New Roman" w:cs="Times New Roman"/>
          <w:bCs/>
          <w:noProof/>
          <w:sz w:val="24"/>
          <w:szCs w:val="24"/>
          <w:lang w:eastAsia="et-EE"/>
        </w:rPr>
      </w:pPr>
      <w:bookmarkStart w:id="29" w:name="_Toc73953162"/>
      <w:r w:rsidRPr="00DF1FE0">
        <w:rPr>
          <w:rFonts w:ascii="Times New Roman" w:eastAsia="Calibri" w:hAnsi="Times New Roman" w:cs="Times New Roman"/>
          <w:bCs/>
          <w:noProof/>
          <w:sz w:val="24"/>
          <w:szCs w:val="24"/>
          <w:lang w:eastAsia="et-EE"/>
        </w:rPr>
        <w:t>Valdavalt</w:t>
      </w:r>
      <w:r>
        <w:rPr>
          <w:rFonts w:ascii="Times New Roman" w:eastAsia="Calibri" w:hAnsi="Times New Roman" w:cs="Times New Roman"/>
          <w:bCs/>
          <w:noProof/>
          <w:sz w:val="24"/>
          <w:szCs w:val="24"/>
          <w:lang w:eastAsia="et-EE"/>
        </w:rPr>
        <w:t xml:space="preserve"> (89%)</w:t>
      </w:r>
      <w:r w:rsidRPr="00DF1FE0">
        <w:rPr>
          <w:rFonts w:ascii="Times New Roman" w:eastAsia="Calibri" w:hAnsi="Times New Roman" w:cs="Times New Roman"/>
          <w:bCs/>
          <w:noProof/>
          <w:sz w:val="24"/>
          <w:szCs w:val="24"/>
          <w:lang w:eastAsia="et-EE"/>
        </w:rPr>
        <w:t xml:space="preserve"> olid patsiendid enne bariaatrilist operatsiooni käinud bariaatriaõe nõustamisel, mille kohta olid leitavad sissekanded.</w:t>
      </w:r>
      <w:r>
        <w:rPr>
          <w:rFonts w:ascii="Times New Roman" w:eastAsia="Calibri" w:hAnsi="Times New Roman" w:cs="Times New Roman"/>
          <w:bCs/>
          <w:noProof/>
          <w:sz w:val="24"/>
          <w:szCs w:val="24"/>
          <w:lang w:eastAsia="et-EE"/>
        </w:rPr>
        <w:t xml:space="preserve"> 11% juhtudel jäi ebaselgeks, miks ei olnud nõustamine dokumenteeritud. Selleks võisid olla erinevad põhjused: nõustamist ei toimunud, esmane nõustamisseanss toimus arsti ja bariaatriaõe koostöös samaaegselt, patsiendid käisid õe konsultatsioonil mõnes teises raviasutuses.</w:t>
      </w:r>
      <w:bookmarkEnd w:id="29"/>
    </w:p>
    <w:p w14:paraId="7B228FB6" w14:textId="77777777" w:rsidR="00DF1FE0" w:rsidRPr="000803D9" w:rsidRDefault="00DF1FE0" w:rsidP="000803D9">
      <w:pPr>
        <w:pStyle w:val="NoSpacing"/>
        <w:jc w:val="both"/>
        <w:rPr>
          <w:rFonts w:ascii="Times New Roman" w:hAnsi="Times New Roman" w:cs="Times New Roman"/>
          <w:sz w:val="24"/>
          <w:szCs w:val="24"/>
          <w:lang w:eastAsia="et-EE"/>
        </w:rPr>
      </w:pPr>
    </w:p>
    <w:p w14:paraId="2D08B212" w14:textId="07338D53" w:rsidR="00DF1FE0" w:rsidRPr="00400C46" w:rsidRDefault="00DF1FE0" w:rsidP="00DF1FE0">
      <w:pPr>
        <w:keepNext/>
        <w:tabs>
          <w:tab w:val="left" w:pos="709"/>
        </w:tabs>
        <w:spacing w:before="120" w:after="120"/>
        <w:jc w:val="both"/>
        <w:outlineLvl w:val="1"/>
        <w:rPr>
          <w:rFonts w:ascii="Times New Roman" w:eastAsia="Calibri" w:hAnsi="Times New Roman" w:cs="Times New Roman"/>
          <w:b/>
          <w:bCs/>
          <w:noProof/>
          <w:sz w:val="24"/>
          <w:szCs w:val="24"/>
          <w:u w:val="single"/>
          <w:lang w:eastAsia="et-EE"/>
        </w:rPr>
      </w:pPr>
      <w:bookmarkStart w:id="30" w:name="_Toc73953163"/>
      <w:r w:rsidRPr="00400C46">
        <w:rPr>
          <w:rFonts w:ascii="Times New Roman" w:eastAsia="Calibri" w:hAnsi="Times New Roman" w:cs="Times New Roman"/>
          <w:b/>
          <w:bCs/>
          <w:noProof/>
          <w:szCs w:val="24"/>
          <w:lang w:eastAsia="et-EE"/>
        </w:rPr>
        <w:t xml:space="preserve">4.5. </w:t>
      </w:r>
      <w:r w:rsidRPr="00400C46">
        <w:rPr>
          <w:rFonts w:ascii="Times New Roman" w:eastAsia="Calibri" w:hAnsi="Times New Roman" w:cs="Times New Roman"/>
          <w:b/>
          <w:bCs/>
          <w:noProof/>
          <w:sz w:val="24"/>
          <w:szCs w:val="24"/>
          <w:lang w:eastAsia="et-EE"/>
        </w:rPr>
        <w:t>Patsiendi postoperatiivne käsitlus</w:t>
      </w:r>
      <w:bookmarkEnd w:id="30"/>
    </w:p>
    <w:p w14:paraId="2EA719F2" w14:textId="77777777" w:rsidR="00DF1FE0" w:rsidRPr="00DF1FE0" w:rsidRDefault="00DF1FE0" w:rsidP="00DF1FE0">
      <w:pPr>
        <w:suppressAutoHyphens/>
        <w:spacing w:after="0" w:line="240" w:lineRule="auto"/>
        <w:jc w:val="both"/>
        <w:rPr>
          <w:rFonts w:ascii="Times New Roman" w:eastAsia="Times New Roman" w:hAnsi="Times New Roman" w:cs="Times New Roman"/>
          <w:i/>
          <w:iCs/>
          <w:sz w:val="24"/>
          <w:szCs w:val="24"/>
          <w:lang w:eastAsia="ar-SA"/>
        </w:rPr>
      </w:pPr>
      <w:r w:rsidRPr="00DF1FE0">
        <w:rPr>
          <w:rFonts w:ascii="Times New Roman" w:eastAsia="Times New Roman" w:hAnsi="Times New Roman" w:cs="Times New Roman"/>
          <w:b/>
          <w:bCs/>
          <w:i/>
          <w:iCs/>
          <w:sz w:val="24"/>
          <w:szCs w:val="24"/>
          <w:lang w:eastAsia="ar-SA"/>
        </w:rPr>
        <w:t xml:space="preserve">Ravijuhendi soovitus 18: </w:t>
      </w:r>
      <w:r w:rsidRPr="00DF1FE0">
        <w:rPr>
          <w:rFonts w:ascii="Times New Roman" w:eastAsia="Times New Roman" w:hAnsi="Times New Roman" w:cs="Times New Roman"/>
          <w:i/>
          <w:iCs/>
          <w:sz w:val="24"/>
          <w:szCs w:val="24"/>
          <w:lang w:eastAsia="ar-SA"/>
        </w:rPr>
        <w:t>Hinnake patsiendi terviseseisundit pärast operatsiooni esimese aasta jooksul vähemalt kolm korda ja edaspidi vähemalt kord aastas (sh toitumis- ja liikumisnõustamine).</w:t>
      </w:r>
    </w:p>
    <w:tbl>
      <w:tblPr>
        <w:tblStyle w:val="TableGrid"/>
        <w:tblW w:w="0" w:type="auto"/>
        <w:tblLook w:val="04A0" w:firstRow="1" w:lastRow="0" w:firstColumn="1" w:lastColumn="0" w:noHBand="0" w:noVBand="1"/>
      </w:tblPr>
      <w:tblGrid>
        <w:gridCol w:w="4531"/>
        <w:gridCol w:w="4531"/>
      </w:tblGrid>
      <w:tr w:rsidR="00DF1FE0" w14:paraId="027D23AD" w14:textId="77777777" w:rsidTr="00BC50E2">
        <w:tc>
          <w:tcPr>
            <w:tcW w:w="4531" w:type="dxa"/>
          </w:tcPr>
          <w:p w14:paraId="4F4E020E"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jah</w:t>
            </w:r>
          </w:p>
        </w:tc>
        <w:tc>
          <w:tcPr>
            <w:tcW w:w="4531" w:type="dxa"/>
          </w:tcPr>
          <w:p w14:paraId="7EB1B517" w14:textId="0011D9EE"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83</w:t>
            </w:r>
          </w:p>
        </w:tc>
      </w:tr>
      <w:tr w:rsidR="00DF1FE0" w14:paraId="18D80B4E" w14:textId="77777777" w:rsidTr="00BC50E2">
        <w:tc>
          <w:tcPr>
            <w:tcW w:w="4531" w:type="dxa"/>
          </w:tcPr>
          <w:p w14:paraId="15CE621E"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2996CA35" w14:textId="4CCE871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17</w:t>
            </w:r>
          </w:p>
        </w:tc>
      </w:tr>
      <w:tr w:rsidR="00DF1FE0" w14:paraId="30F7919F" w14:textId="77777777" w:rsidTr="00BC50E2">
        <w:tc>
          <w:tcPr>
            <w:tcW w:w="4531" w:type="dxa"/>
          </w:tcPr>
          <w:p w14:paraId="33365DB8"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47B62007" w14:textId="77777777" w:rsidR="00DF1FE0" w:rsidRDefault="00DF1FE0"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06665322" w14:textId="77777777" w:rsidR="00B61C7C" w:rsidRPr="00B61C7C" w:rsidRDefault="00B61C7C" w:rsidP="00B61C7C">
      <w:pPr>
        <w:keepNext/>
        <w:tabs>
          <w:tab w:val="left" w:pos="709"/>
        </w:tabs>
        <w:spacing w:before="120" w:after="120" w:line="240" w:lineRule="auto"/>
        <w:jc w:val="both"/>
        <w:outlineLvl w:val="1"/>
        <w:rPr>
          <w:rFonts w:ascii="Times New Roman" w:eastAsia="Calibri" w:hAnsi="Times New Roman" w:cs="Times New Roman"/>
          <w:bCs/>
          <w:noProof/>
          <w:sz w:val="24"/>
          <w:szCs w:val="24"/>
          <w:lang w:eastAsia="et-EE"/>
        </w:rPr>
      </w:pPr>
      <w:bookmarkStart w:id="31" w:name="_Toc73953164"/>
      <w:r w:rsidRPr="00B61C7C">
        <w:rPr>
          <w:rFonts w:ascii="Times New Roman" w:eastAsia="Calibri" w:hAnsi="Times New Roman" w:cs="Times New Roman"/>
          <w:bCs/>
          <w:noProof/>
          <w:sz w:val="24"/>
          <w:szCs w:val="24"/>
          <w:lang w:eastAsia="et-EE"/>
        </w:rPr>
        <w:t>Üle 80% patsientidest hinnati terviseseisundit pärast operatsiooni esimese aasta jooksul kolm korda ja edaspidi vähemalt üks kord aastas. Puuduvate visiitide põhjuseks võib olla patsientide puudulik ravisoostumus, jälgimine teise erialaspetsialisti juures või surm.</w:t>
      </w:r>
      <w:bookmarkEnd w:id="31"/>
    </w:p>
    <w:p w14:paraId="1A3E831C" w14:textId="77777777" w:rsidR="00B61C7C" w:rsidRPr="00B61C7C" w:rsidRDefault="00B61C7C" w:rsidP="00B61C7C">
      <w:pPr>
        <w:keepNext/>
        <w:tabs>
          <w:tab w:val="left" w:pos="709"/>
        </w:tabs>
        <w:spacing w:before="120" w:after="120" w:line="240" w:lineRule="auto"/>
        <w:jc w:val="both"/>
        <w:outlineLvl w:val="1"/>
        <w:rPr>
          <w:rFonts w:ascii="Times New Roman" w:eastAsia="Calibri" w:hAnsi="Times New Roman" w:cs="Times New Roman"/>
          <w:bCs/>
          <w:noProof/>
          <w:sz w:val="24"/>
          <w:szCs w:val="24"/>
          <w:lang w:eastAsia="et-EE"/>
        </w:rPr>
      </w:pPr>
      <w:bookmarkStart w:id="32" w:name="_Toc73953165"/>
      <w:r w:rsidRPr="00B61C7C">
        <w:rPr>
          <w:rFonts w:ascii="Times New Roman" w:eastAsia="Calibri" w:hAnsi="Times New Roman" w:cs="Times New Roman"/>
          <w:bCs/>
          <w:noProof/>
          <w:sz w:val="24"/>
          <w:szCs w:val="24"/>
          <w:lang w:eastAsia="et-EE"/>
        </w:rPr>
        <w:t>Bariaatriliste patsientide käsitluse süsteem erinevates raviasutustes on üles ehitatud selliselt, et operatsioonijärgselt esimene bariaatriline konsultatsioon toimub juba statsionaaris, kus patsientidele antakse aeg järgmisele vastuvõtule tulemiseks. Juhul kui patsientide edasine operatsioonijärgne kulg on probleemideta, siis mõned neist vastuvõtule pöördumist vajalikuks ei pea, eriti kui selleks tuleb sõita kodust kaugemale.</w:t>
      </w:r>
      <w:bookmarkEnd w:id="32"/>
    </w:p>
    <w:p w14:paraId="5CB7C19F" w14:textId="77777777" w:rsidR="00B61C7C" w:rsidRPr="00B61C7C" w:rsidRDefault="00B61C7C" w:rsidP="00B61C7C">
      <w:pPr>
        <w:suppressAutoHyphens/>
        <w:spacing w:after="0" w:line="240" w:lineRule="auto"/>
        <w:jc w:val="both"/>
        <w:rPr>
          <w:rFonts w:ascii="Times New Roman" w:eastAsia="Times New Roman" w:hAnsi="Times New Roman" w:cs="Times New Roman"/>
          <w:i/>
          <w:iCs/>
          <w:sz w:val="24"/>
          <w:szCs w:val="24"/>
          <w:lang w:eastAsia="ar-SA"/>
        </w:rPr>
      </w:pPr>
      <w:r w:rsidRPr="00B61C7C">
        <w:rPr>
          <w:rFonts w:ascii="Times New Roman" w:eastAsia="Times New Roman" w:hAnsi="Times New Roman" w:cs="Times New Roman"/>
          <w:b/>
          <w:bCs/>
          <w:i/>
          <w:iCs/>
          <w:sz w:val="24"/>
          <w:szCs w:val="24"/>
          <w:lang w:eastAsia="ar-SA"/>
        </w:rPr>
        <w:t xml:space="preserve">Ravijuhendi soovitus 21: </w:t>
      </w:r>
      <w:r w:rsidRPr="00B61C7C">
        <w:rPr>
          <w:rFonts w:ascii="Times New Roman" w:eastAsia="Times New Roman" w:hAnsi="Times New Roman" w:cs="Times New Roman"/>
          <w:i/>
          <w:iCs/>
          <w:sz w:val="24"/>
          <w:szCs w:val="24"/>
          <w:lang w:eastAsia="ar-SA"/>
        </w:rPr>
        <w:t xml:space="preserve">Määrake kuus kuud ja 12 kuud pärast operatsiooni ning seejärel kord aastas järgmised analüüsid: Kolesterool, HDL-kolesterool, LDL-kolesterool ja </w:t>
      </w:r>
      <w:proofErr w:type="spellStart"/>
      <w:r w:rsidRPr="00B61C7C">
        <w:rPr>
          <w:rFonts w:ascii="Times New Roman" w:eastAsia="Times New Roman" w:hAnsi="Times New Roman" w:cs="Times New Roman"/>
          <w:i/>
          <w:iCs/>
          <w:sz w:val="24"/>
          <w:szCs w:val="24"/>
          <w:lang w:eastAsia="ar-SA"/>
        </w:rPr>
        <w:t>triglütseriidid</w:t>
      </w:r>
      <w:proofErr w:type="spellEnd"/>
      <w:r w:rsidRPr="00B61C7C">
        <w:rPr>
          <w:rFonts w:ascii="Times New Roman" w:eastAsia="Times New Roman" w:hAnsi="Times New Roman" w:cs="Times New Roman"/>
          <w:i/>
          <w:iCs/>
          <w:sz w:val="24"/>
          <w:szCs w:val="24"/>
          <w:lang w:eastAsia="ar-SA"/>
        </w:rPr>
        <w:t>.</w:t>
      </w:r>
    </w:p>
    <w:p w14:paraId="108BCBCE" w14:textId="77777777" w:rsidR="00B61C7C" w:rsidRPr="00B61C7C" w:rsidRDefault="00B61C7C" w:rsidP="00B61C7C">
      <w:pPr>
        <w:suppressAutoHyphens/>
        <w:spacing w:after="0" w:line="240" w:lineRule="auto"/>
        <w:jc w:val="both"/>
        <w:rPr>
          <w:rFonts w:ascii="Times New Roman" w:eastAsia="Times New Roman" w:hAnsi="Times New Roman" w:cs="Times New Roman"/>
          <w:i/>
          <w:iCs/>
          <w:sz w:val="24"/>
          <w:szCs w:val="24"/>
          <w:lang w:eastAsia="ar-SA"/>
        </w:rPr>
      </w:pPr>
      <w:r w:rsidRPr="00B61C7C">
        <w:rPr>
          <w:rFonts w:ascii="Times New Roman" w:eastAsia="Times New Roman" w:hAnsi="Times New Roman" w:cs="Times New Roman"/>
          <w:i/>
          <w:iCs/>
          <w:sz w:val="24"/>
          <w:szCs w:val="24"/>
          <w:lang w:eastAsia="ar-SA"/>
        </w:rPr>
        <w:t xml:space="preserve">B12-vitamiin. </w:t>
      </w:r>
      <w:proofErr w:type="spellStart"/>
      <w:r w:rsidRPr="00B61C7C">
        <w:rPr>
          <w:rFonts w:ascii="Times New Roman" w:eastAsia="Times New Roman" w:hAnsi="Times New Roman" w:cs="Times New Roman"/>
          <w:i/>
          <w:iCs/>
          <w:sz w:val="24"/>
          <w:szCs w:val="24"/>
          <w:lang w:eastAsia="ar-SA"/>
        </w:rPr>
        <w:t>Folaat</w:t>
      </w:r>
      <w:proofErr w:type="spellEnd"/>
      <w:r w:rsidRPr="00B61C7C">
        <w:rPr>
          <w:rFonts w:ascii="Times New Roman" w:eastAsia="Times New Roman" w:hAnsi="Times New Roman" w:cs="Times New Roman"/>
          <w:i/>
          <w:iCs/>
          <w:sz w:val="24"/>
          <w:szCs w:val="24"/>
          <w:lang w:eastAsia="ar-SA"/>
        </w:rPr>
        <w:t xml:space="preserve">. </w:t>
      </w:r>
      <w:proofErr w:type="spellStart"/>
      <w:r w:rsidRPr="00B61C7C">
        <w:rPr>
          <w:rFonts w:ascii="Times New Roman" w:eastAsia="Times New Roman" w:hAnsi="Times New Roman" w:cs="Times New Roman"/>
          <w:i/>
          <w:iCs/>
          <w:sz w:val="24"/>
          <w:szCs w:val="24"/>
          <w:lang w:eastAsia="ar-SA"/>
        </w:rPr>
        <w:t>Ferritiin</w:t>
      </w:r>
      <w:proofErr w:type="spellEnd"/>
      <w:r w:rsidRPr="00B61C7C">
        <w:rPr>
          <w:rFonts w:ascii="Times New Roman" w:eastAsia="Times New Roman" w:hAnsi="Times New Roman" w:cs="Times New Roman"/>
          <w:i/>
          <w:iCs/>
          <w:sz w:val="24"/>
          <w:szCs w:val="24"/>
          <w:lang w:eastAsia="ar-SA"/>
        </w:rPr>
        <w:t xml:space="preserve">. PTH. Kaltsium või ioniseeritud kaltsium (eeldusel, et proov on võimalik tsentrifuugida või viia laborisse suletuna 60 min jooksul). </w:t>
      </w:r>
      <w:proofErr w:type="spellStart"/>
      <w:r w:rsidRPr="00B61C7C">
        <w:rPr>
          <w:rFonts w:ascii="Times New Roman" w:eastAsia="Times New Roman" w:hAnsi="Times New Roman" w:cs="Times New Roman"/>
          <w:i/>
          <w:iCs/>
          <w:sz w:val="24"/>
          <w:szCs w:val="24"/>
          <w:lang w:eastAsia="ar-SA"/>
        </w:rPr>
        <w:t>Vit</w:t>
      </w:r>
      <w:proofErr w:type="spellEnd"/>
      <w:r w:rsidRPr="00B61C7C">
        <w:rPr>
          <w:rFonts w:ascii="Times New Roman" w:eastAsia="Times New Roman" w:hAnsi="Times New Roman" w:cs="Times New Roman"/>
          <w:i/>
          <w:iCs/>
          <w:sz w:val="24"/>
          <w:szCs w:val="24"/>
          <w:lang w:eastAsia="ar-SA"/>
        </w:rPr>
        <w:t xml:space="preserve"> D3 (25-OH).</w:t>
      </w:r>
    </w:p>
    <w:p w14:paraId="5E16458C" w14:textId="38A153F7" w:rsidR="00B61C7C" w:rsidRDefault="00B61C7C" w:rsidP="00B61C7C">
      <w:pPr>
        <w:suppressAutoHyphens/>
        <w:spacing w:after="0" w:line="240" w:lineRule="auto"/>
        <w:jc w:val="both"/>
        <w:rPr>
          <w:rFonts w:ascii="Times New Roman" w:eastAsia="Times New Roman" w:hAnsi="Times New Roman" w:cs="Times New Roman"/>
          <w:i/>
          <w:iCs/>
          <w:sz w:val="24"/>
          <w:szCs w:val="24"/>
          <w:lang w:eastAsia="ar-SA"/>
        </w:rPr>
      </w:pPr>
      <w:proofErr w:type="spellStart"/>
      <w:r w:rsidRPr="00B61C7C">
        <w:rPr>
          <w:rFonts w:ascii="Times New Roman" w:eastAsia="Times New Roman" w:hAnsi="Times New Roman" w:cs="Times New Roman"/>
          <w:i/>
          <w:iCs/>
          <w:sz w:val="24"/>
          <w:szCs w:val="24"/>
          <w:lang w:eastAsia="ar-SA"/>
        </w:rPr>
        <w:t>Glükohemoglobiin</w:t>
      </w:r>
      <w:proofErr w:type="spellEnd"/>
      <w:r w:rsidRPr="00B61C7C">
        <w:rPr>
          <w:rFonts w:ascii="Times New Roman" w:eastAsia="Times New Roman" w:hAnsi="Times New Roman" w:cs="Times New Roman"/>
          <w:i/>
          <w:iCs/>
          <w:sz w:val="24"/>
          <w:szCs w:val="24"/>
          <w:lang w:eastAsia="ar-SA"/>
        </w:rPr>
        <w:t xml:space="preserve"> – jälgida diabeedi puhul. Tsink – spetsiifiliste sümptomite korral.</w:t>
      </w:r>
    </w:p>
    <w:p w14:paraId="201F0FE3" w14:textId="62B1332E" w:rsidR="00B61C7C" w:rsidRDefault="00B61C7C" w:rsidP="00B61C7C">
      <w:pPr>
        <w:suppressAutoHyphens/>
        <w:spacing w:after="0" w:line="240" w:lineRule="auto"/>
        <w:jc w:val="both"/>
        <w:rPr>
          <w:rFonts w:ascii="Times New Roman" w:eastAsia="Times New Roman" w:hAnsi="Times New Roman" w:cs="Times New Roman"/>
          <w:i/>
          <w:iCs/>
          <w:sz w:val="24"/>
          <w:szCs w:val="24"/>
          <w:lang w:eastAsia="ar-SA"/>
        </w:rPr>
      </w:pPr>
    </w:p>
    <w:p w14:paraId="430562FF" w14:textId="447F560E" w:rsidR="00B61C7C" w:rsidRPr="00B61C7C" w:rsidRDefault="00B61C7C" w:rsidP="00B61C7C">
      <w:pPr>
        <w:suppressAutoHyphens/>
        <w:spacing w:after="0" w:line="240" w:lineRule="auto"/>
        <w:jc w:val="both"/>
        <w:rPr>
          <w:rFonts w:ascii="Times New Roman" w:eastAsia="Times New Roman" w:hAnsi="Times New Roman" w:cs="Times New Roman"/>
          <w:sz w:val="24"/>
          <w:szCs w:val="24"/>
          <w:lang w:eastAsia="ar-SA"/>
        </w:rPr>
      </w:pPr>
      <w:r w:rsidRPr="00B61C7C">
        <w:rPr>
          <w:rFonts w:ascii="Times New Roman" w:eastAsia="Times New Roman" w:hAnsi="Times New Roman" w:cs="Times New Roman"/>
          <w:sz w:val="24"/>
          <w:szCs w:val="24"/>
          <w:lang w:eastAsia="ar-SA"/>
        </w:rPr>
        <w:t>6 kuud peale operatsiooni:</w:t>
      </w:r>
    </w:p>
    <w:tbl>
      <w:tblPr>
        <w:tblStyle w:val="TableGrid"/>
        <w:tblW w:w="0" w:type="auto"/>
        <w:tblLook w:val="04A0" w:firstRow="1" w:lastRow="0" w:firstColumn="1" w:lastColumn="0" w:noHBand="0" w:noVBand="1"/>
      </w:tblPr>
      <w:tblGrid>
        <w:gridCol w:w="4531"/>
        <w:gridCol w:w="4531"/>
      </w:tblGrid>
      <w:tr w:rsidR="00B61C7C" w14:paraId="09EB9590" w14:textId="77777777" w:rsidTr="00BC50E2">
        <w:tc>
          <w:tcPr>
            <w:tcW w:w="4531" w:type="dxa"/>
          </w:tcPr>
          <w:p w14:paraId="74B84370"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jah</w:t>
            </w:r>
          </w:p>
        </w:tc>
        <w:tc>
          <w:tcPr>
            <w:tcW w:w="4531" w:type="dxa"/>
          </w:tcPr>
          <w:p w14:paraId="5C001327" w14:textId="46E6E86A"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37</w:t>
            </w:r>
          </w:p>
        </w:tc>
      </w:tr>
      <w:tr w:rsidR="00B61C7C" w14:paraId="34405F50" w14:textId="77777777" w:rsidTr="00BC50E2">
        <w:tc>
          <w:tcPr>
            <w:tcW w:w="4531" w:type="dxa"/>
          </w:tcPr>
          <w:p w14:paraId="2DD57959"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osaliselt</w:t>
            </w:r>
          </w:p>
        </w:tc>
        <w:tc>
          <w:tcPr>
            <w:tcW w:w="4531" w:type="dxa"/>
          </w:tcPr>
          <w:p w14:paraId="719D2279" w14:textId="267FA3EC"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48</w:t>
            </w:r>
          </w:p>
        </w:tc>
      </w:tr>
      <w:tr w:rsidR="00B61C7C" w14:paraId="6502E61E" w14:textId="77777777" w:rsidTr="00BC50E2">
        <w:tc>
          <w:tcPr>
            <w:tcW w:w="4531" w:type="dxa"/>
          </w:tcPr>
          <w:p w14:paraId="24955482"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0FD7CDE8"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15</w:t>
            </w:r>
          </w:p>
        </w:tc>
      </w:tr>
      <w:tr w:rsidR="00B61C7C" w14:paraId="4EE50299" w14:textId="77777777" w:rsidTr="00BC50E2">
        <w:tc>
          <w:tcPr>
            <w:tcW w:w="4531" w:type="dxa"/>
          </w:tcPr>
          <w:p w14:paraId="3B42E683"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109212B9"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10F2F14D" w14:textId="6A86C0B9" w:rsidR="00FB66D7" w:rsidRPr="00B61C7C" w:rsidRDefault="00B61C7C" w:rsidP="0067428C">
      <w:pPr>
        <w:pStyle w:val="Heading1"/>
        <w:rPr>
          <w:rFonts w:eastAsia="Calibri"/>
          <w:b w:val="0"/>
          <w:bCs/>
          <w:noProof/>
          <w:lang w:eastAsia="et-EE"/>
        </w:rPr>
      </w:pPr>
      <w:bookmarkStart w:id="33" w:name="_Toc73953166"/>
      <w:r w:rsidRPr="00B61C7C">
        <w:rPr>
          <w:rFonts w:eastAsia="Calibri"/>
          <w:b w:val="0"/>
          <w:bCs/>
          <w:noProof/>
          <w:lang w:eastAsia="et-EE"/>
        </w:rPr>
        <w:t>12 kuud peale operatsiooni:</w:t>
      </w:r>
      <w:bookmarkEnd w:id="33"/>
    </w:p>
    <w:tbl>
      <w:tblPr>
        <w:tblStyle w:val="TableGrid"/>
        <w:tblW w:w="0" w:type="auto"/>
        <w:tblLook w:val="04A0" w:firstRow="1" w:lastRow="0" w:firstColumn="1" w:lastColumn="0" w:noHBand="0" w:noVBand="1"/>
      </w:tblPr>
      <w:tblGrid>
        <w:gridCol w:w="4531"/>
        <w:gridCol w:w="4531"/>
      </w:tblGrid>
      <w:tr w:rsidR="00B61C7C" w14:paraId="530AAF68" w14:textId="77777777" w:rsidTr="00BC50E2">
        <w:tc>
          <w:tcPr>
            <w:tcW w:w="4531" w:type="dxa"/>
          </w:tcPr>
          <w:p w14:paraId="60814723"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jah</w:t>
            </w:r>
          </w:p>
        </w:tc>
        <w:tc>
          <w:tcPr>
            <w:tcW w:w="4531" w:type="dxa"/>
          </w:tcPr>
          <w:p w14:paraId="5A92F696" w14:textId="6D743FCF"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29</w:t>
            </w:r>
          </w:p>
        </w:tc>
      </w:tr>
      <w:tr w:rsidR="00B61C7C" w14:paraId="4823E75A" w14:textId="77777777" w:rsidTr="00BC50E2">
        <w:tc>
          <w:tcPr>
            <w:tcW w:w="4531" w:type="dxa"/>
          </w:tcPr>
          <w:p w14:paraId="5BF81D98"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osaliselt</w:t>
            </w:r>
          </w:p>
        </w:tc>
        <w:tc>
          <w:tcPr>
            <w:tcW w:w="4531" w:type="dxa"/>
          </w:tcPr>
          <w:p w14:paraId="589430E0"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48</w:t>
            </w:r>
          </w:p>
        </w:tc>
      </w:tr>
      <w:tr w:rsidR="00B61C7C" w14:paraId="1AC33C86" w14:textId="77777777" w:rsidTr="00BC50E2">
        <w:tc>
          <w:tcPr>
            <w:tcW w:w="4531" w:type="dxa"/>
          </w:tcPr>
          <w:p w14:paraId="246F49B4"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ei</w:t>
            </w:r>
          </w:p>
        </w:tc>
        <w:tc>
          <w:tcPr>
            <w:tcW w:w="4531" w:type="dxa"/>
          </w:tcPr>
          <w:p w14:paraId="5C6B4858" w14:textId="6F287EFC"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23</w:t>
            </w:r>
          </w:p>
        </w:tc>
      </w:tr>
      <w:tr w:rsidR="00B61C7C" w14:paraId="7424B9A3" w14:textId="77777777" w:rsidTr="00BC50E2">
        <w:tc>
          <w:tcPr>
            <w:tcW w:w="4531" w:type="dxa"/>
          </w:tcPr>
          <w:p w14:paraId="4EF5B160"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KOKKU, %</w:t>
            </w:r>
          </w:p>
        </w:tc>
        <w:tc>
          <w:tcPr>
            <w:tcW w:w="4531" w:type="dxa"/>
          </w:tcPr>
          <w:p w14:paraId="42A2A1C4" w14:textId="77777777" w:rsidR="00B61C7C" w:rsidRDefault="00B61C7C" w:rsidP="00BC50E2">
            <w:pPr>
              <w:suppressAutoHyphens/>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100</w:t>
            </w:r>
          </w:p>
        </w:tc>
      </w:tr>
    </w:tbl>
    <w:p w14:paraId="7D1764C0" w14:textId="7F9C767E" w:rsidR="009A0FD7" w:rsidRDefault="009A0FD7" w:rsidP="009A0FD7">
      <w:pPr>
        <w:pStyle w:val="NoSpacing"/>
        <w:rPr>
          <w:rFonts w:ascii="Times New Roman" w:hAnsi="Times New Roman" w:cs="Times New Roman"/>
          <w:noProof/>
          <w:sz w:val="24"/>
          <w:szCs w:val="24"/>
          <w:lang w:eastAsia="et-EE"/>
        </w:rPr>
      </w:pPr>
    </w:p>
    <w:p w14:paraId="0E4FB31F" w14:textId="77777777" w:rsidR="00B61C7C" w:rsidRPr="00B61C7C" w:rsidRDefault="00B61C7C" w:rsidP="00B61C7C">
      <w:pPr>
        <w:keepNext/>
        <w:tabs>
          <w:tab w:val="left" w:pos="709"/>
        </w:tabs>
        <w:spacing w:before="120" w:after="120" w:line="240" w:lineRule="auto"/>
        <w:jc w:val="both"/>
        <w:outlineLvl w:val="1"/>
        <w:rPr>
          <w:rFonts w:ascii="Times New Roman" w:eastAsia="Calibri" w:hAnsi="Times New Roman" w:cs="Times New Roman"/>
          <w:bCs/>
          <w:noProof/>
          <w:sz w:val="24"/>
          <w:szCs w:val="24"/>
          <w:lang w:eastAsia="et-EE"/>
        </w:rPr>
      </w:pPr>
      <w:bookmarkStart w:id="34" w:name="_Toc73953167"/>
      <w:r w:rsidRPr="00B61C7C">
        <w:rPr>
          <w:rFonts w:ascii="Times New Roman" w:eastAsia="Calibri" w:hAnsi="Times New Roman" w:cs="Times New Roman"/>
          <w:bCs/>
          <w:noProof/>
          <w:sz w:val="24"/>
          <w:szCs w:val="24"/>
          <w:lang w:eastAsia="et-EE"/>
        </w:rPr>
        <w:t>Valdava enamuse patsientide puhul 6 kuud ja 12 kuud peale bariaatrilist operatsiooni on ravijuhendi poolt soovitatud analüüside vastused leitavad (vastavalt 6 kuu möödudes 85% juhtudest ja 12 kuu möödudes 77% juhtudest).</w:t>
      </w:r>
      <w:bookmarkEnd w:id="34"/>
    </w:p>
    <w:p w14:paraId="307AAC0C" w14:textId="77777777" w:rsidR="00B61C7C" w:rsidRPr="0067428C" w:rsidRDefault="00B61C7C" w:rsidP="009A0FD7">
      <w:pPr>
        <w:pStyle w:val="NoSpacing"/>
        <w:rPr>
          <w:rFonts w:ascii="Times New Roman" w:hAnsi="Times New Roman" w:cs="Times New Roman"/>
          <w:noProof/>
          <w:sz w:val="24"/>
          <w:szCs w:val="24"/>
          <w:lang w:eastAsia="et-EE"/>
        </w:rPr>
      </w:pPr>
    </w:p>
    <w:p w14:paraId="5C36416A" w14:textId="14CF490D" w:rsidR="00C57607" w:rsidRDefault="00B61C7C" w:rsidP="00C57607">
      <w:pPr>
        <w:pStyle w:val="Heading1"/>
        <w:numPr>
          <w:ilvl w:val="0"/>
          <w:numId w:val="17"/>
        </w:numPr>
        <w:rPr>
          <w:lang w:eastAsia="et-EE"/>
        </w:rPr>
      </w:pPr>
      <w:bookmarkStart w:id="35" w:name="_Toc73953168"/>
      <w:r>
        <w:rPr>
          <w:lang w:eastAsia="et-EE"/>
        </w:rPr>
        <w:t>Järeldused</w:t>
      </w:r>
      <w:bookmarkEnd w:id="35"/>
    </w:p>
    <w:p w14:paraId="4BF632B8" w14:textId="77777777" w:rsidR="00746B2B" w:rsidRDefault="00746B2B" w:rsidP="00746B2B">
      <w:pPr>
        <w:pStyle w:val="NoSpacing"/>
        <w:rPr>
          <w:rFonts w:ascii="Times New Roman" w:hAnsi="Times New Roman" w:cs="Times New Roman"/>
          <w:sz w:val="24"/>
          <w:szCs w:val="24"/>
          <w:lang w:eastAsia="et-EE"/>
        </w:rPr>
      </w:pPr>
    </w:p>
    <w:p w14:paraId="2E1CD99C" w14:textId="45A00827" w:rsidR="00746B2B" w:rsidRDefault="00B61C7C" w:rsidP="00746B2B">
      <w:pPr>
        <w:pStyle w:val="NoSpacing"/>
        <w:numPr>
          <w:ilvl w:val="0"/>
          <w:numId w:val="20"/>
        </w:numPr>
        <w:jc w:val="both"/>
        <w:rPr>
          <w:rFonts w:ascii="Times New Roman" w:hAnsi="Times New Roman" w:cs="Times New Roman"/>
          <w:sz w:val="24"/>
          <w:szCs w:val="24"/>
          <w:lang w:eastAsia="et-EE"/>
        </w:rPr>
      </w:pPr>
      <w:r>
        <w:rPr>
          <w:rFonts w:ascii="Times New Roman" w:hAnsi="Times New Roman" w:cs="Times New Roman"/>
          <w:sz w:val="24"/>
          <w:szCs w:val="24"/>
          <w:lang w:eastAsia="et-EE"/>
        </w:rPr>
        <w:t>Ravijuhendi soovituste rakendamist hinnati 100 ravijuhul.</w:t>
      </w:r>
    </w:p>
    <w:p w14:paraId="58B94BFC" w14:textId="3CC65D5F" w:rsidR="00746B2B" w:rsidRPr="00B61C7C" w:rsidRDefault="00B61C7C" w:rsidP="00746B2B">
      <w:pPr>
        <w:pStyle w:val="NoSpacing"/>
        <w:numPr>
          <w:ilvl w:val="0"/>
          <w:numId w:val="20"/>
        </w:numPr>
        <w:jc w:val="both"/>
        <w:rPr>
          <w:rFonts w:ascii="Times New Roman" w:hAnsi="Times New Roman" w:cs="Times New Roman"/>
          <w:sz w:val="24"/>
          <w:szCs w:val="24"/>
          <w:lang w:eastAsia="et-EE"/>
        </w:rPr>
      </w:pPr>
      <w:r w:rsidRPr="00B61C7C">
        <w:rPr>
          <w:rFonts w:ascii="Times New Roman" w:eastAsia="Calibri" w:hAnsi="Times New Roman" w:cs="Times New Roman"/>
          <w:bCs/>
          <w:noProof/>
          <w:sz w:val="24"/>
          <w:szCs w:val="24"/>
          <w:lang w:eastAsia="et-EE"/>
        </w:rPr>
        <w:t>Enamikel juhtudest järgiti ravijuhendi soovitusi</w:t>
      </w:r>
      <w:r w:rsidR="006A1D79">
        <w:rPr>
          <w:rFonts w:ascii="Times New Roman" w:eastAsia="Calibri" w:hAnsi="Times New Roman" w:cs="Times New Roman"/>
          <w:bCs/>
          <w:noProof/>
          <w:sz w:val="24"/>
          <w:szCs w:val="24"/>
          <w:lang w:eastAsia="et-EE"/>
        </w:rPr>
        <w:t xml:space="preserve"> osaliselt või täielikult.</w:t>
      </w:r>
    </w:p>
    <w:p w14:paraId="5DF9B852" w14:textId="3FFCBDFF" w:rsidR="00B61C7C" w:rsidRPr="00B61C7C" w:rsidRDefault="00B61C7C" w:rsidP="00B61C7C">
      <w:pPr>
        <w:pStyle w:val="ListParagraph"/>
        <w:keepNext/>
        <w:numPr>
          <w:ilvl w:val="0"/>
          <w:numId w:val="20"/>
        </w:numPr>
        <w:spacing w:after="120"/>
        <w:jc w:val="both"/>
        <w:outlineLvl w:val="1"/>
        <w:rPr>
          <w:rFonts w:eastAsia="Calibri"/>
          <w:bCs/>
          <w:noProof/>
          <w:lang w:eastAsia="et-EE"/>
        </w:rPr>
      </w:pPr>
      <w:bookmarkStart w:id="36" w:name="_Toc73953169"/>
      <w:r>
        <w:rPr>
          <w:rFonts w:eastAsia="Calibri"/>
          <w:bCs/>
          <w:noProof/>
          <w:lang w:eastAsia="et-EE"/>
        </w:rPr>
        <w:t>R</w:t>
      </w:r>
      <w:r w:rsidRPr="00B61C7C">
        <w:rPr>
          <w:rFonts w:eastAsia="Calibri"/>
          <w:bCs/>
          <w:noProof/>
          <w:lang w:eastAsia="et-EE"/>
        </w:rPr>
        <w:t>aviasutus</w:t>
      </w:r>
      <w:r>
        <w:rPr>
          <w:rFonts w:eastAsia="Calibri"/>
          <w:bCs/>
          <w:noProof/>
          <w:lang w:eastAsia="et-EE"/>
        </w:rPr>
        <w:t>t</w:t>
      </w:r>
      <w:r w:rsidRPr="00B61C7C">
        <w:rPr>
          <w:rFonts w:eastAsia="Calibri"/>
          <w:bCs/>
          <w:noProof/>
          <w:lang w:eastAsia="et-EE"/>
        </w:rPr>
        <w:t>el on moodustatud kindel analüüside pakett. Osadel juhtudel teevad patsiendid analüüse ka perearsti juures. Käesoleva sihtvaliku tulemustest lähtuvalt viiakse osade raviasutuste bariaatrilise patsiendi käsitluses sisse täiendused analüüside paketti, et need vastaksid ravijuhendi soovitusele.</w:t>
      </w:r>
      <w:bookmarkEnd w:id="36"/>
    </w:p>
    <w:p w14:paraId="1AAEF189" w14:textId="77777777" w:rsidR="00B61C7C" w:rsidRPr="00B61C7C" w:rsidRDefault="00B61C7C" w:rsidP="00B61C7C">
      <w:pPr>
        <w:pStyle w:val="ListParagraph"/>
        <w:keepNext/>
        <w:numPr>
          <w:ilvl w:val="0"/>
          <w:numId w:val="20"/>
        </w:numPr>
        <w:spacing w:after="120"/>
        <w:jc w:val="both"/>
        <w:outlineLvl w:val="1"/>
        <w:rPr>
          <w:rFonts w:eastAsia="Calibri"/>
          <w:bCs/>
          <w:noProof/>
          <w:lang w:eastAsia="et-EE"/>
        </w:rPr>
      </w:pPr>
      <w:bookmarkStart w:id="37" w:name="_Toc73953170"/>
      <w:r w:rsidRPr="00B61C7C">
        <w:rPr>
          <w:rFonts w:eastAsia="Calibri"/>
          <w:bCs/>
          <w:noProof/>
          <w:lang w:eastAsia="et-EE"/>
        </w:rPr>
        <w:t>Bariaatrilise patsiendi postoperatiivse käsitluse puhul on oluline järelkontroll 6 ja 12 kuu möödumisel operatsioonist. Võimaliku mikrotoitainete ja vitamiinide defitsiidi tõttu on teatud juhtudel vajalik asendusravi ja jälgimine. See eeldab teatud regulaarsusega vereproovide andmist. Teenuse osutajad on patsientidele järelkontrolli olulisust rõhutanud, kuid probleem on oma olemuselt laialdane ning esineb teistestki valdkondades. Sageli ei pöördu patsiendid järelkontrolli põhjusel, et neil on kõik hästi.</w:t>
      </w:r>
      <w:bookmarkEnd w:id="37"/>
    </w:p>
    <w:p w14:paraId="57A4D80A" w14:textId="4474D1FC" w:rsidR="00746B2B" w:rsidRPr="00B61C7C" w:rsidRDefault="00746B2B" w:rsidP="00DF684C">
      <w:pPr>
        <w:pStyle w:val="NoSpacing"/>
        <w:ind w:left="720"/>
        <w:jc w:val="both"/>
        <w:rPr>
          <w:rFonts w:ascii="Times New Roman" w:hAnsi="Times New Roman" w:cs="Times New Roman"/>
          <w:sz w:val="24"/>
          <w:szCs w:val="24"/>
          <w:lang w:eastAsia="et-EE"/>
        </w:rPr>
      </w:pPr>
    </w:p>
    <w:p w14:paraId="1B53E7D1" w14:textId="77777777" w:rsidR="00C57607" w:rsidRPr="0067428C" w:rsidRDefault="00C57607" w:rsidP="0067428C">
      <w:pPr>
        <w:rPr>
          <w:lang w:eastAsia="et-EE"/>
        </w:rPr>
      </w:pPr>
    </w:p>
    <w:p w14:paraId="287856CD" w14:textId="784FAE11" w:rsidR="00C57607" w:rsidRPr="00C57607" w:rsidRDefault="00C57607" w:rsidP="00C57607">
      <w:pPr>
        <w:pStyle w:val="Heading1"/>
        <w:numPr>
          <w:ilvl w:val="0"/>
          <w:numId w:val="17"/>
        </w:numPr>
        <w:rPr>
          <w:rFonts w:eastAsia="Calibri" w:cs="Times New Roman"/>
          <w:noProof/>
          <w:szCs w:val="24"/>
          <w:lang w:eastAsia="et-EE"/>
        </w:rPr>
      </w:pPr>
      <w:bookmarkStart w:id="38" w:name="_Toc73953171"/>
      <w:r>
        <w:rPr>
          <w:lang w:eastAsia="et-EE"/>
        </w:rPr>
        <w:t>ETTEPANEKUD JA JÄTKUTEGEVUSED</w:t>
      </w:r>
      <w:bookmarkEnd w:id="38"/>
    </w:p>
    <w:p w14:paraId="1DF593F6" w14:textId="77777777" w:rsidR="00C57607" w:rsidRPr="0077218F" w:rsidRDefault="00C57607" w:rsidP="00C57607">
      <w:pPr>
        <w:rPr>
          <w:noProof/>
          <w:lang w:eastAsia="et-EE"/>
        </w:rPr>
      </w:pPr>
    </w:p>
    <w:p w14:paraId="0D3DD580" w14:textId="0AEBC0E9" w:rsidR="00DF684C" w:rsidRDefault="00DF684C" w:rsidP="00DF684C">
      <w:pPr>
        <w:pStyle w:val="ListParagraph"/>
        <w:numPr>
          <w:ilvl w:val="0"/>
          <w:numId w:val="15"/>
        </w:numPr>
        <w:suppressAutoHyphens w:val="0"/>
        <w:spacing w:after="160" w:line="259" w:lineRule="auto"/>
        <w:jc w:val="both"/>
        <w:rPr>
          <w:rFonts w:eastAsia="Calibri"/>
          <w:bCs/>
          <w:noProof/>
          <w:lang w:eastAsia="et-EE"/>
        </w:rPr>
      </w:pPr>
      <w:r>
        <w:rPr>
          <w:rFonts w:eastAsia="Calibri"/>
          <w:bCs/>
          <w:noProof/>
          <w:lang w:eastAsia="et-EE"/>
        </w:rPr>
        <w:t>Bariaatrilise patsiendi käsitlusel järgida ravijuhendi soovitusi.</w:t>
      </w:r>
    </w:p>
    <w:p w14:paraId="1154659E" w14:textId="60C5B793" w:rsidR="006A1D79" w:rsidRDefault="006A1D79" w:rsidP="00DF684C">
      <w:pPr>
        <w:pStyle w:val="ListParagraph"/>
        <w:numPr>
          <w:ilvl w:val="0"/>
          <w:numId w:val="15"/>
        </w:numPr>
        <w:suppressAutoHyphens w:val="0"/>
        <w:spacing w:after="160" w:line="259" w:lineRule="auto"/>
        <w:jc w:val="both"/>
        <w:rPr>
          <w:rFonts w:eastAsia="Calibri"/>
          <w:bCs/>
          <w:noProof/>
          <w:lang w:eastAsia="et-EE"/>
        </w:rPr>
      </w:pPr>
      <w:r>
        <w:rPr>
          <w:rFonts w:eastAsia="Calibri"/>
          <w:bCs/>
          <w:noProof/>
          <w:lang w:eastAsia="et-EE"/>
        </w:rPr>
        <w:t>Raviasutustel täiendada operatsioonieelsete ja -järgsete analüüside paketti vastavalt ravijuehndis loetletud analüüsidele.</w:t>
      </w:r>
    </w:p>
    <w:p w14:paraId="1C20666F" w14:textId="79FEEAB1" w:rsidR="006A1D79" w:rsidRDefault="006A1D79" w:rsidP="00DF684C">
      <w:pPr>
        <w:pStyle w:val="ListParagraph"/>
        <w:numPr>
          <w:ilvl w:val="0"/>
          <w:numId w:val="15"/>
        </w:numPr>
        <w:suppressAutoHyphens w:val="0"/>
        <w:spacing w:after="160" w:line="259" w:lineRule="auto"/>
        <w:jc w:val="both"/>
        <w:rPr>
          <w:rFonts w:eastAsia="Calibri"/>
          <w:bCs/>
          <w:noProof/>
          <w:lang w:eastAsia="et-EE"/>
        </w:rPr>
      </w:pPr>
      <w:r>
        <w:rPr>
          <w:rFonts w:eastAsia="Calibri"/>
          <w:bCs/>
          <w:noProof/>
          <w:lang w:eastAsia="et-EE"/>
        </w:rPr>
        <w:t>Kõiki bariaatrilisele ravile suunatud patsiente hinnata</w:t>
      </w:r>
      <w:r w:rsidR="00FA5C48">
        <w:rPr>
          <w:rFonts w:eastAsia="Calibri"/>
          <w:bCs/>
          <w:noProof/>
          <w:lang w:eastAsia="et-EE"/>
        </w:rPr>
        <w:t xml:space="preserve"> psüühikahäire suhtes kasutades selleks standardiseeritud ja valideeritud hindamisvahendeid.</w:t>
      </w:r>
    </w:p>
    <w:p w14:paraId="18343CC2" w14:textId="0CF4E50F" w:rsidR="00DF684C" w:rsidRPr="00626D90" w:rsidRDefault="00DF684C" w:rsidP="00DF684C">
      <w:pPr>
        <w:pStyle w:val="ListParagraph"/>
        <w:keepNext/>
        <w:numPr>
          <w:ilvl w:val="0"/>
          <w:numId w:val="15"/>
        </w:numPr>
        <w:suppressAutoHyphens w:val="0"/>
        <w:spacing w:after="120"/>
        <w:jc w:val="both"/>
        <w:outlineLvl w:val="1"/>
        <w:rPr>
          <w:rFonts w:eastAsia="Calibri"/>
          <w:noProof/>
          <w:lang w:eastAsia="et-EE"/>
        </w:rPr>
      </w:pPr>
      <w:bookmarkStart w:id="39" w:name="_Toc73953172"/>
      <w:r>
        <w:rPr>
          <w:rFonts w:eastAsia="Calibri"/>
          <w:noProof/>
          <w:lang w:eastAsia="et-EE"/>
        </w:rPr>
        <w:t>T</w:t>
      </w:r>
      <w:r w:rsidRPr="3CC05053">
        <w:rPr>
          <w:rFonts w:eastAsia="Calibri"/>
          <w:noProof/>
          <w:lang w:eastAsia="et-EE"/>
        </w:rPr>
        <w:t>agada bariaatria õe vastuvõtule pöördumise võimalus kõikidele opereeritud patsientidele</w:t>
      </w:r>
      <w:r w:rsidR="00FA5C48">
        <w:rPr>
          <w:rFonts w:eastAsia="Calibri"/>
          <w:noProof/>
          <w:lang w:eastAsia="et-EE"/>
        </w:rPr>
        <w:t xml:space="preserve">, et </w:t>
      </w:r>
      <w:r w:rsidRPr="3CC05053">
        <w:rPr>
          <w:rFonts w:eastAsia="Calibri"/>
          <w:noProof/>
          <w:lang w:eastAsia="et-EE"/>
        </w:rPr>
        <w:t>hõlbust</w:t>
      </w:r>
      <w:r w:rsidR="00FA5C48">
        <w:rPr>
          <w:rFonts w:eastAsia="Calibri"/>
          <w:noProof/>
          <w:lang w:eastAsia="et-EE"/>
        </w:rPr>
        <w:t>ada</w:t>
      </w:r>
      <w:r w:rsidRPr="3CC05053">
        <w:rPr>
          <w:rFonts w:eastAsia="Calibri"/>
          <w:noProof/>
          <w:lang w:eastAsia="et-EE"/>
        </w:rPr>
        <w:t xml:space="preserve"> patsientide ligipääs</w:t>
      </w:r>
      <w:r w:rsidR="00FA5C48">
        <w:rPr>
          <w:rFonts w:eastAsia="Calibri"/>
          <w:noProof/>
          <w:lang w:eastAsia="et-EE"/>
        </w:rPr>
        <w:t>u</w:t>
      </w:r>
      <w:r w:rsidRPr="3CC05053">
        <w:rPr>
          <w:rFonts w:eastAsia="Calibri"/>
          <w:noProof/>
          <w:lang w:eastAsia="et-EE"/>
        </w:rPr>
        <w:t xml:space="preserve"> nõustamisteenustele ja suuren</w:t>
      </w:r>
      <w:r w:rsidR="00FA5C48">
        <w:rPr>
          <w:rFonts w:eastAsia="Calibri"/>
          <w:noProof/>
          <w:lang w:eastAsia="et-EE"/>
        </w:rPr>
        <w:t xml:space="preserve">dada </w:t>
      </w:r>
      <w:r w:rsidRPr="3CC05053">
        <w:rPr>
          <w:rFonts w:eastAsia="Calibri"/>
          <w:noProof/>
          <w:lang w:eastAsia="et-EE"/>
        </w:rPr>
        <w:t>järelkontrollis käivate patsientide osakaal</w:t>
      </w:r>
      <w:r w:rsidR="00FA5C48">
        <w:rPr>
          <w:rFonts w:eastAsia="Calibri"/>
          <w:noProof/>
          <w:lang w:eastAsia="et-EE"/>
        </w:rPr>
        <w:t>u</w:t>
      </w:r>
      <w:r w:rsidRPr="3CC05053">
        <w:rPr>
          <w:rFonts w:eastAsia="Calibri"/>
          <w:noProof/>
          <w:lang w:eastAsia="et-EE"/>
        </w:rPr>
        <w:t>.</w:t>
      </w:r>
      <w:bookmarkEnd w:id="39"/>
    </w:p>
    <w:p w14:paraId="270BAD3A" w14:textId="2A042F9E" w:rsidR="00DF684C" w:rsidRDefault="00DF684C" w:rsidP="00DF684C">
      <w:pPr>
        <w:pStyle w:val="ListParagraph"/>
        <w:numPr>
          <w:ilvl w:val="0"/>
          <w:numId w:val="15"/>
        </w:numPr>
        <w:spacing w:after="120"/>
        <w:jc w:val="both"/>
        <w:outlineLvl w:val="1"/>
        <w:rPr>
          <w:noProof/>
          <w:lang w:eastAsia="et-EE"/>
        </w:rPr>
      </w:pPr>
      <w:bookmarkStart w:id="40" w:name="_Toc73953173"/>
      <w:r>
        <w:rPr>
          <w:noProof/>
          <w:lang w:eastAsia="et-EE"/>
        </w:rPr>
        <w:t>A</w:t>
      </w:r>
      <w:r w:rsidRPr="3CC05053">
        <w:rPr>
          <w:noProof/>
          <w:lang w:eastAsia="et-EE"/>
        </w:rPr>
        <w:t>nda patsientidele selgesti arusaadavad juhendmaterjalid järelkontrolli visiitide olulisuse ja ajakava kohta.</w:t>
      </w:r>
      <w:bookmarkEnd w:id="40"/>
    </w:p>
    <w:p w14:paraId="7DA37897" w14:textId="19F25281" w:rsidR="00FA5C48" w:rsidRDefault="00FA5C48" w:rsidP="00DF684C">
      <w:pPr>
        <w:pStyle w:val="ListParagraph"/>
        <w:numPr>
          <w:ilvl w:val="0"/>
          <w:numId w:val="15"/>
        </w:numPr>
        <w:spacing w:after="120"/>
        <w:jc w:val="both"/>
        <w:outlineLvl w:val="1"/>
        <w:rPr>
          <w:noProof/>
          <w:lang w:eastAsia="et-EE"/>
        </w:rPr>
      </w:pPr>
      <w:r>
        <w:rPr>
          <w:noProof/>
          <w:lang w:eastAsia="et-EE"/>
        </w:rPr>
        <w:t>Ravijuhendi uuendamise vajadust hinnatakse sel aastal.</w:t>
      </w:r>
    </w:p>
    <w:p w14:paraId="3770BFDA" w14:textId="74F39307" w:rsidR="00987F68" w:rsidRPr="00DF684C" w:rsidRDefault="00987F68" w:rsidP="00DF684C">
      <w:pPr>
        <w:suppressAutoHyphens/>
        <w:spacing w:after="0" w:line="240" w:lineRule="auto"/>
        <w:ind w:left="720"/>
        <w:jc w:val="both"/>
        <w:rPr>
          <w:rFonts w:ascii="Times New Roman" w:eastAsia="Calibri" w:hAnsi="Times New Roman" w:cs="Times New Roman"/>
          <w:b/>
          <w:bCs/>
          <w:noProof/>
          <w:sz w:val="24"/>
          <w:szCs w:val="24"/>
          <w:lang w:eastAsia="et-EE"/>
        </w:rPr>
      </w:pPr>
    </w:p>
    <w:p w14:paraId="7B7CCEB5" w14:textId="77777777" w:rsidR="00987F68" w:rsidRPr="00652AF2" w:rsidRDefault="00987F68" w:rsidP="00987F68">
      <w:pPr>
        <w:suppressAutoHyphens/>
        <w:spacing w:after="0" w:line="240" w:lineRule="auto"/>
        <w:rPr>
          <w:rFonts w:ascii="Times New Roman" w:eastAsia="Calibri" w:hAnsi="Times New Roman" w:cs="Times New Roman"/>
          <w:b/>
          <w:bCs/>
          <w:noProof/>
          <w:sz w:val="24"/>
          <w:szCs w:val="24"/>
          <w:lang w:eastAsia="et-EE"/>
        </w:rPr>
      </w:pPr>
    </w:p>
    <w:p w14:paraId="210A42EC" w14:textId="77777777" w:rsidR="00FB66D7" w:rsidRPr="00652AF2" w:rsidRDefault="00FB66D7" w:rsidP="00FB66D7">
      <w:pPr>
        <w:suppressAutoHyphens/>
        <w:spacing w:after="0" w:line="240" w:lineRule="auto"/>
        <w:rPr>
          <w:rFonts w:ascii="Times New Roman" w:eastAsia="Calibri" w:hAnsi="Times New Roman" w:cs="Times New Roman"/>
          <w:bCs/>
          <w:noProof/>
          <w:sz w:val="24"/>
          <w:szCs w:val="24"/>
          <w:lang w:eastAsia="et-EE"/>
        </w:rPr>
      </w:pPr>
    </w:p>
    <w:p w14:paraId="21B619AC" w14:textId="34C03317" w:rsidR="00FB66D7" w:rsidRDefault="00FB66D7" w:rsidP="00FB66D7">
      <w:pPr>
        <w:suppressAutoHyphens/>
        <w:spacing w:after="0" w:line="240" w:lineRule="auto"/>
        <w:rPr>
          <w:rFonts w:ascii="Times New Roman" w:eastAsia="Calibri" w:hAnsi="Times New Roman" w:cs="Times New Roman"/>
          <w:bCs/>
          <w:noProof/>
          <w:sz w:val="24"/>
          <w:szCs w:val="24"/>
          <w:lang w:eastAsia="et-EE"/>
        </w:rPr>
      </w:pPr>
    </w:p>
    <w:p w14:paraId="4C74BFB6" w14:textId="35EB9876"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2A44BD90" w14:textId="2A28F6DC"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00931C95" w14:textId="26BC3E9F"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1EBB1FF9" w14:textId="0BC65A01"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53779F95" w14:textId="2F31F6B4"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2AD211D6" w14:textId="58030C4B"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07FB7304" w14:textId="547804CB" w:rsidR="005E3FE5" w:rsidRDefault="005E3FE5" w:rsidP="00FB66D7">
      <w:pPr>
        <w:suppressAutoHyphens/>
        <w:spacing w:after="0" w:line="240" w:lineRule="auto"/>
        <w:rPr>
          <w:rFonts w:ascii="Times New Roman" w:eastAsia="Calibri" w:hAnsi="Times New Roman" w:cs="Times New Roman"/>
          <w:bCs/>
          <w:noProof/>
          <w:sz w:val="24"/>
          <w:szCs w:val="24"/>
          <w:lang w:eastAsia="et-EE"/>
        </w:rPr>
      </w:pPr>
    </w:p>
    <w:p w14:paraId="77130A41" w14:textId="77777777" w:rsidR="00FB66D7" w:rsidRPr="0067428C" w:rsidRDefault="00FB66D7" w:rsidP="00136685">
      <w:pPr>
        <w:pStyle w:val="NoSpacing"/>
        <w:rPr>
          <w:rFonts w:ascii="Times New Roman" w:hAnsi="Times New Roman" w:cs="Times New Roman"/>
          <w:noProof/>
          <w:sz w:val="24"/>
          <w:szCs w:val="24"/>
          <w:lang w:eastAsia="et-EE"/>
        </w:rPr>
      </w:pPr>
    </w:p>
    <w:p w14:paraId="307D5600" w14:textId="3DA3A3F4" w:rsidR="00FB66D7" w:rsidRPr="0077218F" w:rsidRDefault="00FB66D7" w:rsidP="00FB66D7">
      <w:pPr>
        <w:spacing w:after="120" w:line="240" w:lineRule="auto"/>
        <w:ind w:left="284"/>
        <w:jc w:val="both"/>
        <w:rPr>
          <w:rFonts w:ascii="Times New Roman" w:eastAsia="Calibri" w:hAnsi="Times New Roman" w:cs="Times New Roman"/>
          <w:sz w:val="24"/>
          <w:szCs w:val="24"/>
          <w:lang w:eastAsia="et-EE"/>
        </w:rPr>
      </w:pPr>
      <w:r w:rsidRPr="0077218F">
        <w:rPr>
          <w:rFonts w:ascii="Times New Roman" w:eastAsia="Calibri" w:hAnsi="Times New Roman" w:cs="Times New Roman"/>
          <w:sz w:val="24"/>
          <w:szCs w:val="24"/>
          <w:lang w:eastAsia="et-EE"/>
        </w:rPr>
        <w:t>Koostas:</w:t>
      </w:r>
      <w:r w:rsidR="00A35D19">
        <w:rPr>
          <w:rFonts w:ascii="Times New Roman" w:eastAsia="Calibri" w:hAnsi="Times New Roman" w:cs="Times New Roman"/>
          <w:sz w:val="24"/>
          <w:szCs w:val="24"/>
          <w:lang w:eastAsia="et-EE"/>
        </w:rPr>
        <w:t xml:space="preserve"> </w:t>
      </w:r>
      <w:r w:rsidR="00DF684C">
        <w:rPr>
          <w:rFonts w:ascii="Times New Roman" w:eastAsia="Calibri" w:hAnsi="Times New Roman" w:cs="Times New Roman"/>
          <w:sz w:val="24"/>
          <w:szCs w:val="24"/>
          <w:lang w:eastAsia="et-EE"/>
        </w:rPr>
        <w:t>Evi Heide</w:t>
      </w:r>
      <w:r w:rsidR="006174B0">
        <w:rPr>
          <w:rFonts w:ascii="Times New Roman" w:eastAsia="Calibri" w:hAnsi="Times New Roman" w:cs="Times New Roman"/>
          <w:sz w:val="24"/>
          <w:szCs w:val="24"/>
          <w:lang w:eastAsia="et-EE"/>
        </w:rPr>
        <w:t xml:space="preserve">, </w:t>
      </w:r>
      <w:r w:rsidR="00DF684C">
        <w:rPr>
          <w:rFonts w:ascii="Times New Roman" w:eastAsia="Calibri" w:hAnsi="Times New Roman" w:cs="Times New Roman"/>
          <w:sz w:val="24"/>
          <w:szCs w:val="24"/>
          <w:lang w:eastAsia="et-EE"/>
        </w:rPr>
        <w:t>usaldusarst</w:t>
      </w:r>
    </w:p>
    <w:p w14:paraId="6C054520" w14:textId="09A0085F" w:rsidR="00375ABE" w:rsidRDefault="006174B0" w:rsidP="00FB66D7">
      <w:pPr>
        <w:spacing w:after="120" w:line="240" w:lineRule="auto"/>
        <w:ind w:left="284"/>
        <w:jc w:val="both"/>
        <w:rPr>
          <w:rFonts w:ascii="Times New Roman" w:eastAsia="Calibri" w:hAnsi="Times New Roman" w:cs="Times New Roman"/>
          <w:sz w:val="24"/>
          <w:szCs w:val="24"/>
          <w:lang w:eastAsia="et-EE"/>
        </w:rPr>
      </w:pPr>
      <w:r w:rsidRPr="006174B0">
        <w:rPr>
          <w:rFonts w:ascii="Times New Roman" w:eastAsia="Calibri" w:hAnsi="Times New Roman" w:cs="Times New Roman"/>
          <w:sz w:val="24"/>
          <w:szCs w:val="24"/>
          <w:lang w:eastAsia="et-EE"/>
        </w:rPr>
        <w:t xml:space="preserve">Kinnitas: </w:t>
      </w:r>
    </w:p>
    <w:p w14:paraId="65BDBA4D" w14:textId="3AA10865" w:rsidR="00DE2F95" w:rsidRDefault="00DE2F95" w:rsidP="00FB66D7">
      <w:pPr>
        <w:spacing w:after="120" w:line="240" w:lineRule="auto"/>
        <w:ind w:left="284"/>
        <w:jc w:val="both"/>
        <w:rPr>
          <w:rFonts w:ascii="Times New Roman" w:eastAsia="Calibri" w:hAnsi="Times New Roman" w:cs="Times New Roman"/>
          <w:sz w:val="24"/>
          <w:szCs w:val="24"/>
          <w:lang w:eastAsia="et-EE"/>
        </w:rPr>
      </w:pPr>
    </w:p>
    <w:p w14:paraId="422D361B" w14:textId="5A6622A7" w:rsidR="00375ABE" w:rsidRPr="00114C3F" w:rsidRDefault="00DE2F95" w:rsidP="00114C3F">
      <w:pPr>
        <w:spacing w:after="120" w:line="240" w:lineRule="auto"/>
        <w:ind w:left="284"/>
        <w:jc w:val="both"/>
        <w:rPr>
          <w:rFonts w:ascii="Times New Roman" w:eastAsia="Calibri" w:hAnsi="Times New Roman" w:cs="Times New Roman"/>
          <w:sz w:val="24"/>
          <w:szCs w:val="24"/>
          <w:lang w:eastAsia="et-EE"/>
        </w:rPr>
      </w:pPr>
      <w:r>
        <w:rPr>
          <w:rFonts w:ascii="Times New Roman" w:eastAsia="Calibri" w:hAnsi="Times New Roman" w:cs="Times New Roman"/>
          <w:sz w:val="24"/>
          <w:szCs w:val="24"/>
          <w:lang w:eastAsia="et-EE"/>
        </w:rPr>
        <w:t xml:space="preserve">Kuupäev: </w:t>
      </w:r>
      <w:r w:rsidR="00DF684C">
        <w:rPr>
          <w:rFonts w:ascii="Times New Roman" w:eastAsia="Calibri" w:hAnsi="Times New Roman" w:cs="Times New Roman"/>
          <w:sz w:val="24"/>
          <w:szCs w:val="24"/>
          <w:lang w:eastAsia="et-EE"/>
        </w:rPr>
        <w:t>07</w:t>
      </w:r>
      <w:r>
        <w:rPr>
          <w:rFonts w:ascii="Times New Roman" w:eastAsia="Calibri" w:hAnsi="Times New Roman" w:cs="Times New Roman"/>
          <w:sz w:val="24"/>
          <w:szCs w:val="24"/>
          <w:lang w:eastAsia="et-EE"/>
        </w:rPr>
        <w:t>.0</w:t>
      </w:r>
      <w:r w:rsidR="00DF684C">
        <w:rPr>
          <w:rFonts w:ascii="Times New Roman" w:eastAsia="Calibri" w:hAnsi="Times New Roman" w:cs="Times New Roman"/>
          <w:sz w:val="24"/>
          <w:szCs w:val="24"/>
          <w:lang w:eastAsia="et-EE"/>
        </w:rPr>
        <w:t>6</w:t>
      </w:r>
      <w:r>
        <w:rPr>
          <w:rFonts w:ascii="Times New Roman" w:eastAsia="Calibri" w:hAnsi="Times New Roman" w:cs="Times New Roman"/>
          <w:sz w:val="24"/>
          <w:szCs w:val="24"/>
          <w:lang w:eastAsia="et-EE"/>
        </w:rPr>
        <w:t>.202</w:t>
      </w:r>
      <w:r w:rsidR="00114C3F">
        <w:rPr>
          <w:rFonts w:ascii="Times New Roman" w:eastAsia="Calibri" w:hAnsi="Times New Roman" w:cs="Times New Roman"/>
          <w:sz w:val="24"/>
          <w:szCs w:val="24"/>
          <w:lang w:eastAsia="et-EE"/>
        </w:rPr>
        <w:t>1</w:t>
      </w:r>
    </w:p>
    <w:sectPr w:rsidR="00375ABE" w:rsidRPr="00114C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830C" w14:textId="77777777" w:rsidR="00901A26" w:rsidRDefault="00901A26" w:rsidP="00E30860">
      <w:pPr>
        <w:spacing w:after="0" w:line="240" w:lineRule="auto"/>
      </w:pPr>
      <w:r>
        <w:separator/>
      </w:r>
    </w:p>
  </w:endnote>
  <w:endnote w:type="continuationSeparator" w:id="0">
    <w:p w14:paraId="6364AFCF" w14:textId="77777777" w:rsidR="00901A26" w:rsidRDefault="00901A26" w:rsidP="00E3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962" w14:textId="77777777" w:rsidR="004B09DA" w:rsidRDefault="004B0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1223"/>
      <w:docPartObj>
        <w:docPartGallery w:val="Page Numbers (Bottom of Page)"/>
        <w:docPartUnique/>
      </w:docPartObj>
    </w:sdtPr>
    <w:sdtEndPr/>
    <w:sdtContent>
      <w:p w14:paraId="33E74C5F" w14:textId="2EB891B7" w:rsidR="004B09DA" w:rsidRDefault="004B09DA">
        <w:pPr>
          <w:pStyle w:val="Footer"/>
          <w:jc w:val="center"/>
        </w:pPr>
        <w:r>
          <w:fldChar w:fldCharType="begin"/>
        </w:r>
        <w:r>
          <w:instrText>PAGE   \* MERGEFORMAT</w:instrText>
        </w:r>
        <w:r>
          <w:fldChar w:fldCharType="separate"/>
        </w:r>
        <w:r>
          <w:t>2</w:t>
        </w:r>
        <w:r>
          <w:fldChar w:fldCharType="end"/>
        </w:r>
      </w:p>
    </w:sdtContent>
  </w:sdt>
  <w:p w14:paraId="78570193" w14:textId="77777777" w:rsidR="004B09DA" w:rsidRDefault="004B0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E63" w14:textId="77777777" w:rsidR="004B09DA" w:rsidRDefault="004B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263E" w14:textId="77777777" w:rsidR="00901A26" w:rsidRDefault="00901A26" w:rsidP="00E30860">
      <w:pPr>
        <w:spacing w:after="0" w:line="240" w:lineRule="auto"/>
      </w:pPr>
      <w:r>
        <w:separator/>
      </w:r>
    </w:p>
  </w:footnote>
  <w:footnote w:type="continuationSeparator" w:id="0">
    <w:p w14:paraId="2DC35359" w14:textId="77777777" w:rsidR="00901A26" w:rsidRDefault="00901A26" w:rsidP="00E3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9D0" w14:textId="6E8465E7" w:rsidR="004B09DA" w:rsidRDefault="004B0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094" w14:textId="68465304" w:rsidR="004B09DA" w:rsidRDefault="004B0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3B1" w14:textId="50A53F90" w:rsidR="004B09DA" w:rsidRDefault="004B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4CA"/>
    <w:multiLevelType w:val="hybridMultilevel"/>
    <w:tmpl w:val="C95664C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87B90"/>
    <w:multiLevelType w:val="hybridMultilevel"/>
    <w:tmpl w:val="19D8C6C8"/>
    <w:lvl w:ilvl="0" w:tplc="04250019">
      <w:start w:val="1"/>
      <w:numFmt w:val="low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09616F82"/>
    <w:multiLevelType w:val="hybridMultilevel"/>
    <w:tmpl w:val="69E842F6"/>
    <w:lvl w:ilvl="0" w:tplc="2ED055BC">
      <w:start w:val="31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BB48D1"/>
    <w:multiLevelType w:val="hybridMultilevel"/>
    <w:tmpl w:val="9F224E30"/>
    <w:lvl w:ilvl="0" w:tplc="D0249604">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D8484C"/>
    <w:multiLevelType w:val="hybridMultilevel"/>
    <w:tmpl w:val="B04CE504"/>
    <w:lvl w:ilvl="0" w:tplc="8AA0BEA6">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992D0A"/>
    <w:multiLevelType w:val="hybridMultilevel"/>
    <w:tmpl w:val="A13849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EAB59EC"/>
    <w:multiLevelType w:val="hybridMultilevel"/>
    <w:tmpl w:val="4EBE1D1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7" w15:restartNumberingAfterBreak="0">
    <w:nsid w:val="1502223A"/>
    <w:multiLevelType w:val="hybridMultilevel"/>
    <w:tmpl w:val="4D483772"/>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8" w15:restartNumberingAfterBreak="0">
    <w:nsid w:val="25915E76"/>
    <w:multiLevelType w:val="multilevel"/>
    <w:tmpl w:val="84D69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433AA"/>
    <w:multiLevelType w:val="hybridMultilevel"/>
    <w:tmpl w:val="3A9E47C6"/>
    <w:lvl w:ilvl="0" w:tplc="EF2AD0C8">
      <w:start w:val="1"/>
      <w:numFmt w:val="bullet"/>
      <w:lvlText w:val="-"/>
      <w:lvlJc w:val="left"/>
      <w:pPr>
        <w:ind w:left="360" w:hanging="360"/>
      </w:pPr>
      <w:rPr>
        <w:rFonts w:ascii="Times New Roman" w:eastAsiaTheme="minorHAnsi"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0" w15:restartNumberingAfterBreak="0">
    <w:nsid w:val="2BE81B7C"/>
    <w:multiLevelType w:val="multilevel"/>
    <w:tmpl w:val="AAD42C08"/>
    <w:lvl w:ilvl="0">
      <w:start w:val="4"/>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586A83"/>
    <w:multiLevelType w:val="multilevel"/>
    <w:tmpl w:val="DF22C0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701AD"/>
    <w:multiLevelType w:val="hybridMultilevel"/>
    <w:tmpl w:val="F89AD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46054DD"/>
    <w:multiLevelType w:val="hybridMultilevel"/>
    <w:tmpl w:val="50180D00"/>
    <w:lvl w:ilvl="0" w:tplc="8AA0BEA6">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9A33A89"/>
    <w:multiLevelType w:val="hybridMultilevel"/>
    <w:tmpl w:val="C61EE408"/>
    <w:lvl w:ilvl="0" w:tplc="8AA0BEA6">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C8F5754"/>
    <w:multiLevelType w:val="hybridMultilevel"/>
    <w:tmpl w:val="CBFC26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F5664A9"/>
    <w:multiLevelType w:val="hybridMultilevel"/>
    <w:tmpl w:val="D9E248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075686F"/>
    <w:multiLevelType w:val="hybridMultilevel"/>
    <w:tmpl w:val="50F6656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93A3FED"/>
    <w:multiLevelType w:val="hybridMultilevel"/>
    <w:tmpl w:val="D898CD4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F807DBB"/>
    <w:multiLevelType w:val="multilevel"/>
    <w:tmpl w:val="8F0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7A4040"/>
    <w:multiLevelType w:val="hybridMultilevel"/>
    <w:tmpl w:val="501CBBC0"/>
    <w:lvl w:ilvl="0" w:tplc="8AA0BEA6">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7"/>
  </w:num>
  <w:num w:numId="6">
    <w:abstractNumId w:val="10"/>
  </w:num>
  <w:num w:numId="7">
    <w:abstractNumId w:val="4"/>
  </w:num>
  <w:num w:numId="8">
    <w:abstractNumId w:val="14"/>
  </w:num>
  <w:num w:numId="9">
    <w:abstractNumId w:val="1"/>
  </w:num>
  <w:num w:numId="10">
    <w:abstractNumId w:val="19"/>
  </w:num>
  <w:num w:numId="11">
    <w:abstractNumId w:val="2"/>
  </w:num>
  <w:num w:numId="12">
    <w:abstractNumId w:val="13"/>
  </w:num>
  <w:num w:numId="13">
    <w:abstractNumId w:val="20"/>
  </w:num>
  <w:num w:numId="14">
    <w:abstractNumId w:val="11"/>
  </w:num>
  <w:num w:numId="15">
    <w:abstractNumId w:val="17"/>
  </w:num>
  <w:num w:numId="16">
    <w:abstractNumId w:val="16"/>
  </w:num>
  <w:num w:numId="17">
    <w:abstractNumId w:val="18"/>
  </w:num>
  <w:num w:numId="18">
    <w:abstractNumId w:val="12"/>
  </w:num>
  <w:num w:numId="19">
    <w:abstractNumId w:val="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AF"/>
    <w:rsid w:val="0001031C"/>
    <w:rsid w:val="000108FE"/>
    <w:rsid w:val="00020607"/>
    <w:rsid w:val="00022718"/>
    <w:rsid w:val="00032F38"/>
    <w:rsid w:val="00046BE7"/>
    <w:rsid w:val="00055145"/>
    <w:rsid w:val="000573EC"/>
    <w:rsid w:val="000803D9"/>
    <w:rsid w:val="0008301C"/>
    <w:rsid w:val="000935EC"/>
    <w:rsid w:val="000A0A35"/>
    <w:rsid w:val="000C0AAA"/>
    <w:rsid w:val="000C52BA"/>
    <w:rsid w:val="000C7F67"/>
    <w:rsid w:val="000D7166"/>
    <w:rsid w:val="000E3856"/>
    <w:rsid w:val="00105565"/>
    <w:rsid w:val="00114C3F"/>
    <w:rsid w:val="00115956"/>
    <w:rsid w:val="00123521"/>
    <w:rsid w:val="00134BFF"/>
    <w:rsid w:val="00136685"/>
    <w:rsid w:val="00160493"/>
    <w:rsid w:val="00173106"/>
    <w:rsid w:val="001959AC"/>
    <w:rsid w:val="001A0DDD"/>
    <w:rsid w:val="001A2E6C"/>
    <w:rsid w:val="001A4101"/>
    <w:rsid w:val="001A51E7"/>
    <w:rsid w:val="001A702D"/>
    <w:rsid w:val="001B4D46"/>
    <w:rsid w:val="001B607B"/>
    <w:rsid w:val="001B6558"/>
    <w:rsid w:val="001B7EB4"/>
    <w:rsid w:val="001C6330"/>
    <w:rsid w:val="001E4FC0"/>
    <w:rsid w:val="00203E47"/>
    <w:rsid w:val="002171DB"/>
    <w:rsid w:val="0023426C"/>
    <w:rsid w:val="00245123"/>
    <w:rsid w:val="0024538F"/>
    <w:rsid w:val="002505E9"/>
    <w:rsid w:val="00263ADA"/>
    <w:rsid w:val="00280EE8"/>
    <w:rsid w:val="002829B7"/>
    <w:rsid w:val="0029494E"/>
    <w:rsid w:val="0029495A"/>
    <w:rsid w:val="002B6512"/>
    <w:rsid w:val="002D21C8"/>
    <w:rsid w:val="002D6DB1"/>
    <w:rsid w:val="002E318B"/>
    <w:rsid w:val="002E771C"/>
    <w:rsid w:val="002E7A06"/>
    <w:rsid w:val="002F4D74"/>
    <w:rsid w:val="00304981"/>
    <w:rsid w:val="003327C0"/>
    <w:rsid w:val="003419E3"/>
    <w:rsid w:val="0034245E"/>
    <w:rsid w:val="00342EE3"/>
    <w:rsid w:val="00347623"/>
    <w:rsid w:val="00351E3A"/>
    <w:rsid w:val="0037340A"/>
    <w:rsid w:val="003734E0"/>
    <w:rsid w:val="00375ABE"/>
    <w:rsid w:val="0038154B"/>
    <w:rsid w:val="003945EF"/>
    <w:rsid w:val="003A117F"/>
    <w:rsid w:val="003B3DDB"/>
    <w:rsid w:val="003B3FFC"/>
    <w:rsid w:val="003D2455"/>
    <w:rsid w:val="003E4FD9"/>
    <w:rsid w:val="00400C46"/>
    <w:rsid w:val="00411BB4"/>
    <w:rsid w:val="00416483"/>
    <w:rsid w:val="00430833"/>
    <w:rsid w:val="004402FA"/>
    <w:rsid w:val="00444C96"/>
    <w:rsid w:val="0044784F"/>
    <w:rsid w:val="00465605"/>
    <w:rsid w:val="004741A0"/>
    <w:rsid w:val="00496FE9"/>
    <w:rsid w:val="004979E1"/>
    <w:rsid w:val="004A4616"/>
    <w:rsid w:val="004A4E85"/>
    <w:rsid w:val="004A7EB3"/>
    <w:rsid w:val="004B09DA"/>
    <w:rsid w:val="004B6A4D"/>
    <w:rsid w:val="004B7A9B"/>
    <w:rsid w:val="004C7648"/>
    <w:rsid w:val="004F3993"/>
    <w:rsid w:val="004F684E"/>
    <w:rsid w:val="00516ACC"/>
    <w:rsid w:val="00516B21"/>
    <w:rsid w:val="00532DDE"/>
    <w:rsid w:val="00551ADB"/>
    <w:rsid w:val="00561B09"/>
    <w:rsid w:val="00562AE9"/>
    <w:rsid w:val="00562E47"/>
    <w:rsid w:val="0056496D"/>
    <w:rsid w:val="0057752E"/>
    <w:rsid w:val="00577B04"/>
    <w:rsid w:val="00582928"/>
    <w:rsid w:val="005838BB"/>
    <w:rsid w:val="005A06DB"/>
    <w:rsid w:val="005A0DC9"/>
    <w:rsid w:val="005B1EE3"/>
    <w:rsid w:val="005C637A"/>
    <w:rsid w:val="005D62D8"/>
    <w:rsid w:val="005E1748"/>
    <w:rsid w:val="005E3FE5"/>
    <w:rsid w:val="00614E23"/>
    <w:rsid w:val="006174B0"/>
    <w:rsid w:val="00642EA9"/>
    <w:rsid w:val="0064610D"/>
    <w:rsid w:val="00646C2D"/>
    <w:rsid w:val="006477EF"/>
    <w:rsid w:val="00651E66"/>
    <w:rsid w:val="00652AF2"/>
    <w:rsid w:val="00654EF6"/>
    <w:rsid w:val="00671F41"/>
    <w:rsid w:val="0067428C"/>
    <w:rsid w:val="00674F86"/>
    <w:rsid w:val="0067622D"/>
    <w:rsid w:val="006A1D79"/>
    <w:rsid w:val="006B6CF6"/>
    <w:rsid w:val="006B74B0"/>
    <w:rsid w:val="006C2E7D"/>
    <w:rsid w:val="006C5B56"/>
    <w:rsid w:val="006D1F69"/>
    <w:rsid w:val="006E2097"/>
    <w:rsid w:val="006E3013"/>
    <w:rsid w:val="006E3540"/>
    <w:rsid w:val="006E63DA"/>
    <w:rsid w:val="006F61C6"/>
    <w:rsid w:val="006F7B06"/>
    <w:rsid w:val="007014FC"/>
    <w:rsid w:val="00706446"/>
    <w:rsid w:val="007179D6"/>
    <w:rsid w:val="00724624"/>
    <w:rsid w:val="00732B4D"/>
    <w:rsid w:val="00733FE7"/>
    <w:rsid w:val="00737287"/>
    <w:rsid w:val="00740A3B"/>
    <w:rsid w:val="00746B2B"/>
    <w:rsid w:val="00760FBD"/>
    <w:rsid w:val="007646A3"/>
    <w:rsid w:val="0077218F"/>
    <w:rsid w:val="00781C88"/>
    <w:rsid w:val="00781CBE"/>
    <w:rsid w:val="007854E2"/>
    <w:rsid w:val="00790FD2"/>
    <w:rsid w:val="007955D9"/>
    <w:rsid w:val="007B503B"/>
    <w:rsid w:val="007B7926"/>
    <w:rsid w:val="007D3AFD"/>
    <w:rsid w:val="007D6C26"/>
    <w:rsid w:val="007E24F3"/>
    <w:rsid w:val="007E413A"/>
    <w:rsid w:val="007F507E"/>
    <w:rsid w:val="0080478C"/>
    <w:rsid w:val="00830C0C"/>
    <w:rsid w:val="00831490"/>
    <w:rsid w:val="00836AAF"/>
    <w:rsid w:val="00841D81"/>
    <w:rsid w:val="00842A70"/>
    <w:rsid w:val="00850CC1"/>
    <w:rsid w:val="00854116"/>
    <w:rsid w:val="00861722"/>
    <w:rsid w:val="008855D9"/>
    <w:rsid w:val="008A17F5"/>
    <w:rsid w:val="008A53E9"/>
    <w:rsid w:val="008D3B86"/>
    <w:rsid w:val="008E1A2C"/>
    <w:rsid w:val="008F64F3"/>
    <w:rsid w:val="00901A26"/>
    <w:rsid w:val="00920D36"/>
    <w:rsid w:val="0094076B"/>
    <w:rsid w:val="00940D0D"/>
    <w:rsid w:val="009634ED"/>
    <w:rsid w:val="00971868"/>
    <w:rsid w:val="00973A78"/>
    <w:rsid w:val="009814ED"/>
    <w:rsid w:val="009831EA"/>
    <w:rsid w:val="0098559D"/>
    <w:rsid w:val="00987F68"/>
    <w:rsid w:val="00990393"/>
    <w:rsid w:val="009A0FD7"/>
    <w:rsid w:val="009C3183"/>
    <w:rsid w:val="009D0C9C"/>
    <w:rsid w:val="009E379A"/>
    <w:rsid w:val="009E679F"/>
    <w:rsid w:val="009F45F6"/>
    <w:rsid w:val="009F549A"/>
    <w:rsid w:val="00A05D79"/>
    <w:rsid w:val="00A0627E"/>
    <w:rsid w:val="00A06E09"/>
    <w:rsid w:val="00A10D05"/>
    <w:rsid w:val="00A209F7"/>
    <w:rsid w:val="00A24080"/>
    <w:rsid w:val="00A35D19"/>
    <w:rsid w:val="00A55AD3"/>
    <w:rsid w:val="00A60CEC"/>
    <w:rsid w:val="00A71A1F"/>
    <w:rsid w:val="00A75F08"/>
    <w:rsid w:val="00A9616E"/>
    <w:rsid w:val="00A9623F"/>
    <w:rsid w:val="00AA46F3"/>
    <w:rsid w:val="00AD1029"/>
    <w:rsid w:val="00AD7033"/>
    <w:rsid w:val="00AE3A99"/>
    <w:rsid w:val="00B02967"/>
    <w:rsid w:val="00B146D6"/>
    <w:rsid w:val="00B200BE"/>
    <w:rsid w:val="00B274B4"/>
    <w:rsid w:val="00B4621E"/>
    <w:rsid w:val="00B52CA2"/>
    <w:rsid w:val="00B61745"/>
    <w:rsid w:val="00B61C7C"/>
    <w:rsid w:val="00B65E00"/>
    <w:rsid w:val="00B80B40"/>
    <w:rsid w:val="00B90585"/>
    <w:rsid w:val="00B929ED"/>
    <w:rsid w:val="00B95BEB"/>
    <w:rsid w:val="00BA0A3C"/>
    <w:rsid w:val="00BB1542"/>
    <w:rsid w:val="00BB67BE"/>
    <w:rsid w:val="00BD512A"/>
    <w:rsid w:val="00BE0AEA"/>
    <w:rsid w:val="00BE4B1F"/>
    <w:rsid w:val="00BE7827"/>
    <w:rsid w:val="00C15AF9"/>
    <w:rsid w:val="00C57607"/>
    <w:rsid w:val="00C712E9"/>
    <w:rsid w:val="00C8363A"/>
    <w:rsid w:val="00CA52C6"/>
    <w:rsid w:val="00CF2163"/>
    <w:rsid w:val="00CF5274"/>
    <w:rsid w:val="00D009BE"/>
    <w:rsid w:val="00D01A5F"/>
    <w:rsid w:val="00D07F85"/>
    <w:rsid w:val="00D13C2D"/>
    <w:rsid w:val="00D4612C"/>
    <w:rsid w:val="00DB07D8"/>
    <w:rsid w:val="00DC18DB"/>
    <w:rsid w:val="00DC2C3D"/>
    <w:rsid w:val="00DC51D8"/>
    <w:rsid w:val="00DC601B"/>
    <w:rsid w:val="00DD4561"/>
    <w:rsid w:val="00DE2F95"/>
    <w:rsid w:val="00DF1FE0"/>
    <w:rsid w:val="00DF684C"/>
    <w:rsid w:val="00E03561"/>
    <w:rsid w:val="00E07F58"/>
    <w:rsid w:val="00E122A1"/>
    <w:rsid w:val="00E209A4"/>
    <w:rsid w:val="00E20ADA"/>
    <w:rsid w:val="00E30860"/>
    <w:rsid w:val="00E43391"/>
    <w:rsid w:val="00E521E5"/>
    <w:rsid w:val="00E557FB"/>
    <w:rsid w:val="00E568D3"/>
    <w:rsid w:val="00E612F1"/>
    <w:rsid w:val="00E8635A"/>
    <w:rsid w:val="00E92DC3"/>
    <w:rsid w:val="00E937E5"/>
    <w:rsid w:val="00EA08B2"/>
    <w:rsid w:val="00EA28DA"/>
    <w:rsid w:val="00EA3FA1"/>
    <w:rsid w:val="00EA4390"/>
    <w:rsid w:val="00EA56A5"/>
    <w:rsid w:val="00EB48AF"/>
    <w:rsid w:val="00EB5E8D"/>
    <w:rsid w:val="00EC148D"/>
    <w:rsid w:val="00EC209C"/>
    <w:rsid w:val="00EC50E4"/>
    <w:rsid w:val="00EC5364"/>
    <w:rsid w:val="00ED1465"/>
    <w:rsid w:val="00F06DB2"/>
    <w:rsid w:val="00F14F9A"/>
    <w:rsid w:val="00F21BC8"/>
    <w:rsid w:val="00F37DFD"/>
    <w:rsid w:val="00F477F4"/>
    <w:rsid w:val="00F53120"/>
    <w:rsid w:val="00F61099"/>
    <w:rsid w:val="00F63191"/>
    <w:rsid w:val="00F70631"/>
    <w:rsid w:val="00F72469"/>
    <w:rsid w:val="00F77194"/>
    <w:rsid w:val="00F84FF3"/>
    <w:rsid w:val="00F87E73"/>
    <w:rsid w:val="00FA029E"/>
    <w:rsid w:val="00FA5C48"/>
    <w:rsid w:val="00FB1A89"/>
    <w:rsid w:val="00FB47F3"/>
    <w:rsid w:val="00FB66D7"/>
    <w:rsid w:val="00FC111D"/>
    <w:rsid w:val="00FD1B5C"/>
    <w:rsid w:val="00FD721A"/>
    <w:rsid w:val="00FE7A0E"/>
    <w:rsid w:val="00FF5D1E"/>
    <w:rsid w:val="00FF6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90151"/>
  <w15:chartTrackingRefBased/>
  <w15:docId w15:val="{BD2DE999-0328-42BA-A187-1267D80B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7C"/>
  </w:style>
  <w:style w:type="paragraph" w:styleId="Heading1">
    <w:name w:val="heading 1"/>
    <w:basedOn w:val="Normal"/>
    <w:next w:val="Normal"/>
    <w:link w:val="Heading1Char"/>
    <w:uiPriority w:val="9"/>
    <w:qFormat/>
    <w:rsid w:val="00A0627E"/>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A06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D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66D7"/>
    <w:rPr>
      <w:sz w:val="16"/>
      <w:szCs w:val="16"/>
    </w:rPr>
  </w:style>
  <w:style w:type="paragraph" w:styleId="CommentText">
    <w:name w:val="annotation text"/>
    <w:basedOn w:val="Normal"/>
    <w:link w:val="CommentTextChar"/>
    <w:uiPriority w:val="99"/>
    <w:semiHidden/>
    <w:unhideWhenUsed/>
    <w:rsid w:val="00FB66D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FB66D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FB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D7"/>
    <w:rPr>
      <w:rFonts w:ascii="Segoe UI" w:hAnsi="Segoe UI" w:cs="Segoe UI"/>
      <w:sz w:val="18"/>
      <w:szCs w:val="18"/>
    </w:rPr>
  </w:style>
  <w:style w:type="paragraph" w:styleId="NoSpacing">
    <w:name w:val="No Spacing"/>
    <w:uiPriority w:val="1"/>
    <w:qFormat/>
    <w:rsid w:val="00532DDE"/>
    <w:pPr>
      <w:spacing w:after="0" w:line="240" w:lineRule="auto"/>
    </w:pPr>
  </w:style>
  <w:style w:type="table" w:styleId="TableGrid">
    <w:name w:val="Table Grid"/>
    <w:basedOn w:val="TableNormal"/>
    <w:uiPriority w:val="39"/>
    <w:rsid w:val="001A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0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2505E9"/>
    <w:rPr>
      <w:i/>
      <w:iCs/>
    </w:rPr>
  </w:style>
  <w:style w:type="character" w:styleId="Hyperlink">
    <w:name w:val="Hyperlink"/>
    <w:basedOn w:val="DefaultParagraphFont"/>
    <w:uiPriority w:val="99"/>
    <w:unhideWhenUsed/>
    <w:rsid w:val="00987F68"/>
    <w:rPr>
      <w:color w:val="0563C1" w:themeColor="hyperlink"/>
      <w:u w:val="single"/>
    </w:rPr>
  </w:style>
  <w:style w:type="character" w:styleId="UnresolvedMention">
    <w:name w:val="Unresolved Mention"/>
    <w:basedOn w:val="DefaultParagraphFont"/>
    <w:uiPriority w:val="99"/>
    <w:semiHidden/>
    <w:unhideWhenUsed/>
    <w:rsid w:val="00987F68"/>
    <w:rPr>
      <w:color w:val="605E5C"/>
      <w:shd w:val="clear" w:color="auto" w:fill="E1DFDD"/>
    </w:rPr>
  </w:style>
  <w:style w:type="character" w:customStyle="1" w:styleId="Heading1Char">
    <w:name w:val="Heading 1 Char"/>
    <w:basedOn w:val="DefaultParagraphFont"/>
    <w:link w:val="Heading1"/>
    <w:uiPriority w:val="9"/>
    <w:rsid w:val="00A0627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0627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062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627E"/>
    <w:rPr>
      <w:rFonts w:eastAsiaTheme="minorEastAsia"/>
      <w:color w:val="5A5A5A" w:themeColor="text1" w:themeTint="A5"/>
      <w:spacing w:val="15"/>
    </w:rPr>
  </w:style>
  <w:style w:type="character" w:styleId="SubtleEmphasis">
    <w:name w:val="Subtle Emphasis"/>
    <w:basedOn w:val="DefaultParagraphFont"/>
    <w:uiPriority w:val="19"/>
    <w:qFormat/>
    <w:rsid w:val="00A0627E"/>
    <w:rPr>
      <w:i/>
      <w:iCs/>
      <w:color w:val="404040" w:themeColor="text1" w:themeTint="BF"/>
    </w:rPr>
  </w:style>
  <w:style w:type="paragraph" w:styleId="TOCHeading">
    <w:name w:val="TOC Heading"/>
    <w:basedOn w:val="Heading1"/>
    <w:next w:val="Normal"/>
    <w:uiPriority w:val="39"/>
    <w:unhideWhenUsed/>
    <w:qFormat/>
    <w:rsid w:val="00A0627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F63A6"/>
    <w:pPr>
      <w:tabs>
        <w:tab w:val="left" w:pos="440"/>
        <w:tab w:val="right" w:leader="dot" w:pos="9062"/>
      </w:tabs>
      <w:spacing w:after="100"/>
    </w:pPr>
    <w:rPr>
      <w:rFonts w:ascii="Times New Roman" w:eastAsia="Calibri" w:hAnsi="Times New Roman" w:cs="Times New Roman"/>
      <w:noProof/>
      <w:sz w:val="24"/>
      <w:szCs w:val="24"/>
      <w:lang w:eastAsia="et-EE"/>
    </w:rPr>
  </w:style>
  <w:style w:type="paragraph" w:styleId="TOC2">
    <w:name w:val="toc 2"/>
    <w:basedOn w:val="Normal"/>
    <w:next w:val="Normal"/>
    <w:autoRedefine/>
    <w:uiPriority w:val="39"/>
    <w:unhideWhenUsed/>
    <w:rsid w:val="00BE7827"/>
    <w:pPr>
      <w:tabs>
        <w:tab w:val="right" w:leader="dot" w:pos="9062"/>
      </w:tabs>
      <w:spacing w:after="100"/>
      <w:ind w:left="220"/>
    </w:pPr>
    <w:rPr>
      <w:rFonts w:eastAsia="Calibri" w:cs="Times New Roman"/>
      <w:noProof/>
      <w:lang w:eastAsia="et-EE"/>
    </w:rPr>
  </w:style>
  <w:style w:type="paragraph" w:styleId="TOC3">
    <w:name w:val="toc 3"/>
    <w:basedOn w:val="Normal"/>
    <w:next w:val="Normal"/>
    <w:autoRedefine/>
    <w:uiPriority w:val="39"/>
    <w:unhideWhenUsed/>
    <w:rsid w:val="00A0627E"/>
    <w:pPr>
      <w:spacing w:after="100"/>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A06E09"/>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06E09"/>
    <w:rPr>
      <w:rFonts w:ascii="Times New Roman" w:eastAsia="Times New Roman" w:hAnsi="Times New Roman" w:cs="Times New Roman"/>
      <w:b/>
      <w:bCs/>
      <w:sz w:val="20"/>
      <w:szCs w:val="20"/>
      <w:lang w:eastAsia="ar-SA"/>
    </w:rPr>
  </w:style>
  <w:style w:type="paragraph" w:styleId="Revision">
    <w:name w:val="Revision"/>
    <w:hidden/>
    <w:uiPriority w:val="99"/>
    <w:semiHidden/>
    <w:rsid w:val="00347623"/>
    <w:pPr>
      <w:spacing w:after="0" w:line="240" w:lineRule="auto"/>
    </w:pPr>
  </w:style>
  <w:style w:type="paragraph" w:styleId="Header">
    <w:name w:val="header"/>
    <w:basedOn w:val="Normal"/>
    <w:link w:val="HeaderChar"/>
    <w:uiPriority w:val="99"/>
    <w:unhideWhenUsed/>
    <w:rsid w:val="00E308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860"/>
  </w:style>
  <w:style w:type="paragraph" w:styleId="Footer">
    <w:name w:val="footer"/>
    <w:basedOn w:val="Normal"/>
    <w:link w:val="FooterChar"/>
    <w:uiPriority w:val="99"/>
    <w:unhideWhenUsed/>
    <w:rsid w:val="00E308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262">
      <w:bodyDiv w:val="1"/>
      <w:marLeft w:val="0"/>
      <w:marRight w:val="0"/>
      <w:marTop w:val="0"/>
      <w:marBottom w:val="0"/>
      <w:divBdr>
        <w:top w:val="none" w:sz="0" w:space="0" w:color="auto"/>
        <w:left w:val="none" w:sz="0" w:space="0" w:color="auto"/>
        <w:bottom w:val="none" w:sz="0" w:space="0" w:color="auto"/>
        <w:right w:val="none" w:sz="0" w:space="0" w:color="auto"/>
      </w:divBdr>
    </w:div>
    <w:div w:id="201869197">
      <w:bodyDiv w:val="1"/>
      <w:marLeft w:val="0"/>
      <w:marRight w:val="0"/>
      <w:marTop w:val="0"/>
      <w:marBottom w:val="0"/>
      <w:divBdr>
        <w:top w:val="none" w:sz="0" w:space="0" w:color="auto"/>
        <w:left w:val="none" w:sz="0" w:space="0" w:color="auto"/>
        <w:bottom w:val="none" w:sz="0" w:space="0" w:color="auto"/>
        <w:right w:val="none" w:sz="0" w:space="0" w:color="auto"/>
      </w:divBdr>
    </w:div>
    <w:div w:id="318727582">
      <w:bodyDiv w:val="1"/>
      <w:marLeft w:val="0"/>
      <w:marRight w:val="0"/>
      <w:marTop w:val="0"/>
      <w:marBottom w:val="0"/>
      <w:divBdr>
        <w:top w:val="none" w:sz="0" w:space="0" w:color="auto"/>
        <w:left w:val="none" w:sz="0" w:space="0" w:color="auto"/>
        <w:bottom w:val="none" w:sz="0" w:space="0" w:color="auto"/>
        <w:right w:val="none" w:sz="0" w:space="0" w:color="auto"/>
      </w:divBdr>
    </w:div>
    <w:div w:id="490682701">
      <w:bodyDiv w:val="1"/>
      <w:marLeft w:val="0"/>
      <w:marRight w:val="0"/>
      <w:marTop w:val="0"/>
      <w:marBottom w:val="0"/>
      <w:divBdr>
        <w:top w:val="none" w:sz="0" w:space="0" w:color="auto"/>
        <w:left w:val="none" w:sz="0" w:space="0" w:color="auto"/>
        <w:bottom w:val="none" w:sz="0" w:space="0" w:color="auto"/>
        <w:right w:val="none" w:sz="0" w:space="0" w:color="auto"/>
      </w:divBdr>
    </w:div>
    <w:div w:id="527767055">
      <w:bodyDiv w:val="1"/>
      <w:marLeft w:val="0"/>
      <w:marRight w:val="0"/>
      <w:marTop w:val="0"/>
      <w:marBottom w:val="0"/>
      <w:divBdr>
        <w:top w:val="none" w:sz="0" w:space="0" w:color="auto"/>
        <w:left w:val="none" w:sz="0" w:space="0" w:color="auto"/>
        <w:bottom w:val="none" w:sz="0" w:space="0" w:color="auto"/>
        <w:right w:val="none" w:sz="0" w:space="0" w:color="auto"/>
      </w:divBdr>
    </w:div>
    <w:div w:id="579142666">
      <w:bodyDiv w:val="1"/>
      <w:marLeft w:val="0"/>
      <w:marRight w:val="0"/>
      <w:marTop w:val="0"/>
      <w:marBottom w:val="0"/>
      <w:divBdr>
        <w:top w:val="none" w:sz="0" w:space="0" w:color="auto"/>
        <w:left w:val="none" w:sz="0" w:space="0" w:color="auto"/>
        <w:bottom w:val="none" w:sz="0" w:space="0" w:color="auto"/>
        <w:right w:val="none" w:sz="0" w:space="0" w:color="auto"/>
      </w:divBdr>
    </w:div>
    <w:div w:id="617757830">
      <w:bodyDiv w:val="1"/>
      <w:marLeft w:val="0"/>
      <w:marRight w:val="0"/>
      <w:marTop w:val="0"/>
      <w:marBottom w:val="0"/>
      <w:divBdr>
        <w:top w:val="none" w:sz="0" w:space="0" w:color="auto"/>
        <w:left w:val="none" w:sz="0" w:space="0" w:color="auto"/>
        <w:bottom w:val="none" w:sz="0" w:space="0" w:color="auto"/>
        <w:right w:val="none" w:sz="0" w:space="0" w:color="auto"/>
      </w:divBdr>
    </w:div>
    <w:div w:id="685449685">
      <w:bodyDiv w:val="1"/>
      <w:marLeft w:val="0"/>
      <w:marRight w:val="0"/>
      <w:marTop w:val="0"/>
      <w:marBottom w:val="0"/>
      <w:divBdr>
        <w:top w:val="none" w:sz="0" w:space="0" w:color="auto"/>
        <w:left w:val="none" w:sz="0" w:space="0" w:color="auto"/>
        <w:bottom w:val="none" w:sz="0" w:space="0" w:color="auto"/>
        <w:right w:val="none" w:sz="0" w:space="0" w:color="auto"/>
      </w:divBdr>
    </w:div>
    <w:div w:id="704255723">
      <w:bodyDiv w:val="1"/>
      <w:marLeft w:val="0"/>
      <w:marRight w:val="0"/>
      <w:marTop w:val="0"/>
      <w:marBottom w:val="0"/>
      <w:divBdr>
        <w:top w:val="none" w:sz="0" w:space="0" w:color="auto"/>
        <w:left w:val="none" w:sz="0" w:space="0" w:color="auto"/>
        <w:bottom w:val="none" w:sz="0" w:space="0" w:color="auto"/>
        <w:right w:val="none" w:sz="0" w:space="0" w:color="auto"/>
      </w:divBdr>
    </w:div>
    <w:div w:id="732779069">
      <w:bodyDiv w:val="1"/>
      <w:marLeft w:val="0"/>
      <w:marRight w:val="0"/>
      <w:marTop w:val="0"/>
      <w:marBottom w:val="0"/>
      <w:divBdr>
        <w:top w:val="none" w:sz="0" w:space="0" w:color="auto"/>
        <w:left w:val="none" w:sz="0" w:space="0" w:color="auto"/>
        <w:bottom w:val="none" w:sz="0" w:space="0" w:color="auto"/>
        <w:right w:val="none" w:sz="0" w:space="0" w:color="auto"/>
      </w:divBdr>
    </w:div>
    <w:div w:id="839005171">
      <w:bodyDiv w:val="1"/>
      <w:marLeft w:val="0"/>
      <w:marRight w:val="0"/>
      <w:marTop w:val="0"/>
      <w:marBottom w:val="0"/>
      <w:divBdr>
        <w:top w:val="none" w:sz="0" w:space="0" w:color="auto"/>
        <w:left w:val="none" w:sz="0" w:space="0" w:color="auto"/>
        <w:bottom w:val="none" w:sz="0" w:space="0" w:color="auto"/>
        <w:right w:val="none" w:sz="0" w:space="0" w:color="auto"/>
      </w:divBdr>
    </w:div>
    <w:div w:id="883443252">
      <w:bodyDiv w:val="1"/>
      <w:marLeft w:val="0"/>
      <w:marRight w:val="0"/>
      <w:marTop w:val="0"/>
      <w:marBottom w:val="0"/>
      <w:divBdr>
        <w:top w:val="none" w:sz="0" w:space="0" w:color="auto"/>
        <w:left w:val="none" w:sz="0" w:space="0" w:color="auto"/>
        <w:bottom w:val="none" w:sz="0" w:space="0" w:color="auto"/>
        <w:right w:val="none" w:sz="0" w:space="0" w:color="auto"/>
      </w:divBdr>
    </w:div>
    <w:div w:id="1121848470">
      <w:bodyDiv w:val="1"/>
      <w:marLeft w:val="0"/>
      <w:marRight w:val="0"/>
      <w:marTop w:val="0"/>
      <w:marBottom w:val="0"/>
      <w:divBdr>
        <w:top w:val="none" w:sz="0" w:space="0" w:color="auto"/>
        <w:left w:val="none" w:sz="0" w:space="0" w:color="auto"/>
        <w:bottom w:val="none" w:sz="0" w:space="0" w:color="auto"/>
        <w:right w:val="none" w:sz="0" w:space="0" w:color="auto"/>
      </w:divBdr>
    </w:div>
    <w:div w:id="1207060557">
      <w:bodyDiv w:val="1"/>
      <w:marLeft w:val="0"/>
      <w:marRight w:val="0"/>
      <w:marTop w:val="0"/>
      <w:marBottom w:val="0"/>
      <w:divBdr>
        <w:top w:val="none" w:sz="0" w:space="0" w:color="auto"/>
        <w:left w:val="none" w:sz="0" w:space="0" w:color="auto"/>
        <w:bottom w:val="none" w:sz="0" w:space="0" w:color="auto"/>
        <w:right w:val="none" w:sz="0" w:space="0" w:color="auto"/>
      </w:divBdr>
    </w:div>
    <w:div w:id="1231424591">
      <w:bodyDiv w:val="1"/>
      <w:marLeft w:val="0"/>
      <w:marRight w:val="0"/>
      <w:marTop w:val="0"/>
      <w:marBottom w:val="0"/>
      <w:divBdr>
        <w:top w:val="none" w:sz="0" w:space="0" w:color="auto"/>
        <w:left w:val="none" w:sz="0" w:space="0" w:color="auto"/>
        <w:bottom w:val="none" w:sz="0" w:space="0" w:color="auto"/>
        <w:right w:val="none" w:sz="0" w:space="0" w:color="auto"/>
      </w:divBdr>
    </w:div>
    <w:div w:id="1303005348">
      <w:bodyDiv w:val="1"/>
      <w:marLeft w:val="0"/>
      <w:marRight w:val="0"/>
      <w:marTop w:val="0"/>
      <w:marBottom w:val="0"/>
      <w:divBdr>
        <w:top w:val="none" w:sz="0" w:space="0" w:color="auto"/>
        <w:left w:val="none" w:sz="0" w:space="0" w:color="auto"/>
        <w:bottom w:val="none" w:sz="0" w:space="0" w:color="auto"/>
        <w:right w:val="none" w:sz="0" w:space="0" w:color="auto"/>
      </w:divBdr>
    </w:div>
    <w:div w:id="1388531205">
      <w:bodyDiv w:val="1"/>
      <w:marLeft w:val="0"/>
      <w:marRight w:val="0"/>
      <w:marTop w:val="0"/>
      <w:marBottom w:val="0"/>
      <w:divBdr>
        <w:top w:val="none" w:sz="0" w:space="0" w:color="auto"/>
        <w:left w:val="none" w:sz="0" w:space="0" w:color="auto"/>
        <w:bottom w:val="none" w:sz="0" w:space="0" w:color="auto"/>
        <w:right w:val="none" w:sz="0" w:space="0" w:color="auto"/>
      </w:divBdr>
    </w:div>
    <w:div w:id="1463618638">
      <w:bodyDiv w:val="1"/>
      <w:marLeft w:val="0"/>
      <w:marRight w:val="0"/>
      <w:marTop w:val="0"/>
      <w:marBottom w:val="0"/>
      <w:divBdr>
        <w:top w:val="none" w:sz="0" w:space="0" w:color="auto"/>
        <w:left w:val="none" w:sz="0" w:space="0" w:color="auto"/>
        <w:bottom w:val="none" w:sz="0" w:space="0" w:color="auto"/>
        <w:right w:val="none" w:sz="0" w:space="0" w:color="auto"/>
      </w:divBdr>
    </w:div>
    <w:div w:id="1509637915">
      <w:bodyDiv w:val="1"/>
      <w:marLeft w:val="0"/>
      <w:marRight w:val="0"/>
      <w:marTop w:val="0"/>
      <w:marBottom w:val="0"/>
      <w:divBdr>
        <w:top w:val="none" w:sz="0" w:space="0" w:color="auto"/>
        <w:left w:val="none" w:sz="0" w:space="0" w:color="auto"/>
        <w:bottom w:val="none" w:sz="0" w:space="0" w:color="auto"/>
        <w:right w:val="none" w:sz="0" w:space="0" w:color="auto"/>
      </w:divBdr>
    </w:div>
    <w:div w:id="1647779515">
      <w:bodyDiv w:val="1"/>
      <w:marLeft w:val="0"/>
      <w:marRight w:val="0"/>
      <w:marTop w:val="0"/>
      <w:marBottom w:val="0"/>
      <w:divBdr>
        <w:top w:val="none" w:sz="0" w:space="0" w:color="auto"/>
        <w:left w:val="none" w:sz="0" w:space="0" w:color="auto"/>
        <w:bottom w:val="none" w:sz="0" w:space="0" w:color="auto"/>
        <w:right w:val="none" w:sz="0" w:space="0" w:color="auto"/>
      </w:divBdr>
    </w:div>
    <w:div w:id="1651324216">
      <w:bodyDiv w:val="1"/>
      <w:marLeft w:val="0"/>
      <w:marRight w:val="0"/>
      <w:marTop w:val="0"/>
      <w:marBottom w:val="0"/>
      <w:divBdr>
        <w:top w:val="none" w:sz="0" w:space="0" w:color="auto"/>
        <w:left w:val="none" w:sz="0" w:space="0" w:color="auto"/>
        <w:bottom w:val="none" w:sz="0" w:space="0" w:color="auto"/>
        <w:right w:val="none" w:sz="0" w:space="0" w:color="auto"/>
      </w:divBdr>
    </w:div>
    <w:div w:id="1868983892">
      <w:bodyDiv w:val="1"/>
      <w:marLeft w:val="0"/>
      <w:marRight w:val="0"/>
      <w:marTop w:val="0"/>
      <w:marBottom w:val="0"/>
      <w:divBdr>
        <w:top w:val="none" w:sz="0" w:space="0" w:color="auto"/>
        <w:left w:val="none" w:sz="0" w:space="0" w:color="auto"/>
        <w:bottom w:val="none" w:sz="0" w:space="0" w:color="auto"/>
        <w:right w:val="none" w:sz="0" w:space="0" w:color="auto"/>
      </w:divBdr>
    </w:div>
    <w:div w:id="1887795506">
      <w:bodyDiv w:val="1"/>
      <w:marLeft w:val="0"/>
      <w:marRight w:val="0"/>
      <w:marTop w:val="0"/>
      <w:marBottom w:val="0"/>
      <w:divBdr>
        <w:top w:val="none" w:sz="0" w:space="0" w:color="auto"/>
        <w:left w:val="none" w:sz="0" w:space="0" w:color="auto"/>
        <w:bottom w:val="none" w:sz="0" w:space="0" w:color="auto"/>
        <w:right w:val="none" w:sz="0" w:space="0" w:color="auto"/>
      </w:divBdr>
    </w:div>
    <w:div w:id="1993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8148-6C78-45AE-A49E-44EDB3FB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10254</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SISSEJUHATUS</vt:lpstr>
      <vt:lpstr>SIHTVALIKU TAUSTAINFO JA EESMÄRK</vt:lpstr>
      <vt:lpstr>SIHTVALIKU KORRALDUS</vt:lpstr>
      <vt:lpstr>3.1. Sihtvaliku töörühm</vt:lpstr>
      <vt:lpstr>3.2. Valimi moodustamine</vt:lpstr>
      <vt:lpstr>HINDAMISE TULEMUSED</vt:lpstr>
      <vt:lpstr>4.1. Ravidokumentide vormistamine</vt:lpstr>
      <vt:lpstr>4.2. Ravijuhendi soovituste hindamine</vt:lpstr>
      <vt:lpstr>4.3. Kirurgilise ravi vajalikkus (lähtuti patsiendi 1. visiidist, dgn E66.)</vt:lpstr>
      <vt:lpstr>    54% patsientidest teostati laparoskoopiline maost möödajuhtiv operatsioon (bypas</vt:lpstr>
      <vt:lpstr>    4.4. Patsiendi preoperatiivne käsitlus</vt:lpstr>
      <vt:lpstr>Kõikidel juhtudel järgiti ravijuhendi soovitust täielikult (56%) või osaliselt (</vt:lpstr>
      <vt:lpstr>    74% patsientidest olid kõik ravijuhendi soovitatud analüüside vastused leitavad.</vt:lpstr>
      <vt:lpstr>    Osaliselt olid soovitatud analüüsid teostatud 11% patsientidest. 15% juhtudest e</vt:lpstr>
      <vt:lpstr>    98% juhtudest järgiti ravijuhendi soovitust. Ühel juhul oli korduvate operatsioo</vt:lpstr>
      <vt:lpstr>    Kõik patsiendid olid perearsti, psühholoogi või psühhiaatri jälgimisel ja kelleg</vt:lpstr>
      <vt:lpstr>    Valdavalt (89%) olid patsiendid enne bariaatrilist operatsiooni käinud bariaatri</vt:lpstr>
      <vt:lpstr>    4.5. Patsiendi postoperatiivne käsitlus</vt:lpstr>
      <vt:lpstr>    Üle 80% patsientidest hinnati terviseseisundit pärast operatsiooni esimese aasta</vt:lpstr>
      <vt:lpstr>    Bariaatriliste patsientide käsitluse süsteem erinevates raviasutustes on üles eh</vt:lpstr>
      <vt:lpstr>12 kuud peale operatsiooni:</vt:lpstr>
      <vt:lpstr>    Valdava enamuse patsientide puhul 6 kuud ja 12 kuud peale bariaatrilist operatsi</vt:lpstr>
      <vt:lpstr>Järeldused</vt:lpstr>
      <vt:lpstr>    Raviasutustel on moodustatud kindel analüüside pakett. Osadel juhtudel teevad pa</vt:lpstr>
      <vt:lpstr>    Bariaatrilise patsiendi postoperatiivse käsitluse puhul on oluline järelkontroll</vt:lpstr>
      <vt:lpstr>ETTEPANEKUD JA JÄTKUTEGEVUSED</vt:lpstr>
      <vt:lpstr>    Tagada bariaatria õe vastuvõtule pöördumise võimalus kõikidele opereeritud patsi</vt:lpstr>
      <vt:lpstr>    Anda patsientidele selgesti arusaadavad juhendmaterjalid järelkontrolli visiitid</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Mägi</dc:creator>
  <cp:keywords/>
  <dc:description/>
  <cp:lastModifiedBy>Evi Heide</cp:lastModifiedBy>
  <cp:revision>2</cp:revision>
  <cp:lastPrinted>2021-02-21T12:30:00Z</cp:lastPrinted>
  <dcterms:created xsi:type="dcterms:W3CDTF">2021-07-02T06:38:00Z</dcterms:created>
  <dcterms:modified xsi:type="dcterms:W3CDTF">2021-07-02T06:38:00Z</dcterms:modified>
</cp:coreProperties>
</file>